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bCs/>
          <w:szCs w:val="32"/>
        </w:rPr>
      </w:pPr>
    </w:p>
    <w:p>
      <w:pPr>
        <w:rPr>
          <w:rFonts w:hint="eastAsia" w:ascii="宋体" w:hAnsi="宋体" w:eastAsia="宋体" w:cs="Arial"/>
          <w:bCs/>
          <w:szCs w:val="32"/>
        </w:rPr>
      </w:pPr>
    </w:p>
    <w:p>
      <w:pPr>
        <w:jc w:val="center"/>
        <w:rPr>
          <w:rFonts w:hint="eastAsia" w:ascii="黑体" w:hAnsi="宋体" w:eastAsia="黑体" w:cs="Arial"/>
          <w:bCs/>
          <w:sz w:val="44"/>
          <w:szCs w:val="44"/>
        </w:rPr>
      </w:pPr>
      <w:r>
        <w:rPr>
          <w:rFonts w:hint="eastAsia" w:ascii="黑体" w:hAnsi="宋体" w:eastAsia="黑体" w:cs="Arial"/>
          <w:bCs/>
          <w:sz w:val="44"/>
          <w:szCs w:val="44"/>
        </w:rPr>
        <w:t>全国人民代表大会宪法和法律委员会关于</w:t>
      </w:r>
    </w:p>
    <w:p>
      <w:pPr>
        <w:jc w:val="center"/>
        <w:rPr>
          <w:rFonts w:hint="eastAsia" w:ascii="黑体" w:hAnsi="宋体" w:eastAsia="黑体" w:cs="Arial"/>
          <w:bCs/>
          <w:sz w:val="44"/>
          <w:szCs w:val="44"/>
        </w:rPr>
      </w:pPr>
      <w:r>
        <w:rPr>
          <w:rFonts w:hint="eastAsia" w:ascii="黑体" w:hAnsi="宋体" w:eastAsia="黑体" w:cs="Arial"/>
          <w:bCs/>
          <w:sz w:val="44"/>
          <w:szCs w:val="44"/>
        </w:rPr>
        <w:t>《中华人民共和国行政复议法（修订草案）》</w:t>
      </w:r>
    </w:p>
    <w:p>
      <w:pPr>
        <w:jc w:val="center"/>
        <w:rPr>
          <w:rFonts w:hint="eastAsia" w:ascii="黑体" w:hAnsi="宋体" w:eastAsia="黑体" w:cs="Arial"/>
          <w:bCs/>
          <w:sz w:val="44"/>
          <w:szCs w:val="44"/>
        </w:rPr>
      </w:pPr>
      <w:r>
        <w:rPr>
          <w:rFonts w:hint="eastAsia" w:ascii="黑体" w:hAnsi="宋体" w:eastAsia="黑体" w:cs="Arial"/>
          <w:bCs/>
          <w:sz w:val="44"/>
          <w:szCs w:val="44"/>
        </w:rPr>
        <w:t>修改情况的汇报</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hint="default" w:ascii="Times New Roman" w:hAnsi="Times New Roman" w:eastAsia="楷体_GB2312" w:cs="Times New Roman"/>
          <w:bCs/>
          <w:szCs w:val="32"/>
        </w:rPr>
      </w:pPr>
      <w:r>
        <w:rPr>
          <w:rFonts w:hint="eastAsia" w:eastAsia="楷体_GB2312" w:cs="Times New Roman"/>
          <w:bCs/>
          <w:szCs w:val="32"/>
          <w:lang w:eastAsia="zh-CN"/>
        </w:rPr>
        <w:t>——</w:t>
      </w:r>
      <w:bookmarkStart w:id="0" w:name="_GoBack"/>
      <w:bookmarkEnd w:id="0"/>
      <w:r>
        <w:rPr>
          <w:rFonts w:hint="default" w:ascii="Times New Roman" w:hAnsi="Times New Roman" w:eastAsia="楷体_GB2312" w:cs="Times New Roman"/>
          <w:bCs/>
          <w:szCs w:val="32"/>
          <w:lang w:val="en-US" w:eastAsia="zh-CN"/>
        </w:rPr>
        <w:t>2023</w:t>
      </w:r>
      <w:r>
        <w:rPr>
          <w:rFonts w:hint="default" w:ascii="Times New Roman" w:hAnsi="Times New Roman" w:eastAsia="楷体_GB2312" w:cs="Times New Roman"/>
          <w:bCs/>
          <w:szCs w:val="32"/>
        </w:rPr>
        <w:t>年</w:t>
      </w:r>
      <w:r>
        <w:rPr>
          <w:rFonts w:hint="default" w:ascii="Times New Roman" w:hAnsi="Times New Roman" w:eastAsia="楷体_GB2312" w:cs="Times New Roman"/>
          <w:bCs/>
          <w:szCs w:val="32"/>
          <w:lang w:val="en-US" w:eastAsia="zh-CN"/>
        </w:rPr>
        <w:t>6</w:t>
      </w:r>
      <w:r>
        <w:rPr>
          <w:rFonts w:hint="default" w:ascii="Times New Roman" w:hAnsi="Times New Roman" w:eastAsia="楷体_GB2312" w:cs="Times New Roman"/>
          <w:bCs/>
          <w:szCs w:val="32"/>
        </w:rPr>
        <w:t>月</w:t>
      </w:r>
      <w:r>
        <w:rPr>
          <w:rFonts w:hint="default" w:ascii="Times New Roman" w:hAnsi="Times New Roman" w:eastAsia="楷体_GB2312" w:cs="Times New Roman"/>
          <w:bCs/>
          <w:szCs w:val="32"/>
          <w:lang w:val="en-US" w:eastAsia="zh-CN"/>
        </w:rPr>
        <w:t>26</w:t>
      </w:r>
      <w:r>
        <w:rPr>
          <w:rFonts w:hint="default" w:ascii="Times New Roman" w:hAnsi="Times New Roman" w:eastAsia="楷体_GB2312" w:cs="Times New Roman"/>
          <w:bCs/>
          <w:szCs w:val="32"/>
        </w:rPr>
        <w:t>日在第十四届全国人民代表大会</w:t>
      </w:r>
    </w:p>
    <w:p>
      <w:pPr>
        <w:keepNext w:val="0"/>
        <w:keepLines w:val="0"/>
        <w:pageBreakBefore w:val="0"/>
        <w:widowControl w:val="0"/>
        <w:kinsoku/>
        <w:wordWrap/>
        <w:overflowPunct/>
        <w:topLinePunct w:val="0"/>
        <w:autoSpaceDE/>
        <w:autoSpaceDN/>
        <w:bidi w:val="0"/>
        <w:adjustRightInd/>
        <w:snapToGrid/>
        <w:ind w:left="632" w:leftChars="200" w:right="632" w:rightChars="200"/>
        <w:jc w:val="center"/>
        <w:textAlignment w:val="auto"/>
        <w:rPr>
          <w:rFonts w:hint="default" w:ascii="Times New Roman" w:hAnsi="Times New Roman" w:eastAsia="楷体_GB2312" w:cs="Times New Roman"/>
          <w:bCs/>
          <w:szCs w:val="32"/>
        </w:rPr>
      </w:pPr>
      <w:r>
        <w:rPr>
          <w:rFonts w:hint="default" w:ascii="Times New Roman" w:hAnsi="Times New Roman" w:eastAsia="楷体_GB2312" w:cs="Times New Roman"/>
          <w:bCs/>
          <w:szCs w:val="32"/>
        </w:rPr>
        <w:t>常务委员会第三次会议上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center"/>
        <w:textAlignment w:val="auto"/>
        <w:rPr>
          <w:rFonts w:hint="eastAsia" w:ascii="楷体_GB2312" w:hAnsi="楷体_GB2312" w:eastAsia="楷体_GB2312" w:cs="楷体_GB2312"/>
          <w:kern w:val="2"/>
          <w:sz w:val="32"/>
          <w:szCs w:val="24"/>
          <w:lang w:val="en-US" w:eastAsia="zh-CN" w:bidi="ar"/>
        </w:rPr>
      </w:pPr>
      <w:r>
        <w:rPr>
          <w:rFonts w:hint="eastAsia" w:ascii="楷体_GB2312" w:hAnsi="楷体_GB2312" w:eastAsia="楷体_GB2312" w:cs="楷体_GB2312"/>
          <w:kern w:val="2"/>
          <w:sz w:val="32"/>
          <w:szCs w:val="24"/>
          <w:lang w:val="en-US" w:eastAsia="zh-CN" w:bidi="ar"/>
        </w:rPr>
        <w:t>全国人大宪法和法律委员会副主任委员　袁曙宏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632" w:firstLineChars="200"/>
        <w:jc w:val="center"/>
        <w:textAlignment w:val="auto"/>
        <w:rPr>
          <w:rFonts w:hint="eastAsia" w:ascii="宋体" w:hAnsi="宋体" w:eastAsia="宋体" w:cs="宋体"/>
          <w:kern w:val="2"/>
          <w:sz w:val="32"/>
          <w:szCs w:val="24"/>
          <w:lang w:val="en-US" w:eastAsia="zh-CN" w:bidi="ar"/>
        </w:rPr>
      </w:pPr>
    </w:p>
    <w:p>
      <w:pPr>
        <w:rPr>
          <w:rFonts w:hint="eastAsia" w:ascii="黑体" w:hAnsi="宋体" w:eastAsia="黑体" w:cs="Arial"/>
          <w:szCs w:val="32"/>
        </w:rPr>
      </w:pPr>
      <w:r>
        <w:rPr>
          <w:rFonts w:hint="eastAsia" w:ascii="黑体" w:hAnsi="宋体" w:eastAsia="黑体" w:cs="Arial"/>
          <w:szCs w:val="32"/>
        </w:rPr>
        <w:t>全国人民代表大会常务委员会：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现行行政复议法于</w:t>
      </w:r>
      <w:r>
        <w:rPr>
          <w:rFonts w:hint="default" w:ascii="Times New Roman" w:hAnsi="Times New Roman" w:eastAsia="仿宋_GB2312" w:cs="Times New Roman"/>
          <w:sz w:val="32"/>
        </w:rPr>
        <w:t>1999年</w:t>
      </w:r>
      <w:r>
        <w:rPr>
          <w:rFonts w:hint="eastAsia" w:ascii="仿宋_GB2312" w:hAnsi="仿宋_GB2312" w:eastAsia="仿宋_GB2312" w:cs="仿宋_GB2312"/>
          <w:sz w:val="32"/>
        </w:rPr>
        <w:t>施行，并于</w:t>
      </w:r>
      <w:r>
        <w:rPr>
          <w:rFonts w:hint="eastAsia" w:ascii="Times New Roman" w:hAnsi="Times New Roman" w:eastAsia="仿宋_GB2312" w:cs="Times New Roman"/>
          <w:sz w:val="32"/>
        </w:rPr>
        <w:t>2009年和2017</w:t>
      </w:r>
      <w:r>
        <w:rPr>
          <w:rFonts w:hint="eastAsia" w:ascii="仿宋_GB2312" w:hAnsi="仿宋_GB2312" w:eastAsia="仿宋_GB2312" w:cs="仿宋_GB2312"/>
          <w:sz w:val="32"/>
        </w:rPr>
        <w:t>年分别对部分条款作了修改。党的十八大以来，以习近平同志为核心的党中央高度重视行政复议工作。</w:t>
      </w:r>
      <w:r>
        <w:rPr>
          <w:rFonts w:hint="eastAsia" w:ascii="Times New Roman" w:hAnsi="Times New Roman" w:eastAsia="仿宋_GB2312" w:cs="Times New Roman"/>
          <w:sz w:val="32"/>
        </w:rPr>
        <w:t>2020年2月</w:t>
      </w:r>
      <w:r>
        <w:rPr>
          <w:rFonts w:hint="eastAsia" w:ascii="仿宋_GB2312" w:hAnsi="仿宋_GB2312" w:eastAsia="仿宋_GB2312" w:cs="仿宋_GB2312"/>
          <w:sz w:val="32"/>
        </w:rPr>
        <w:t>，习近平总书记主持召开中央全面依法治国委员会第三次会议，审议通过了《行政复议体制改革方案》。习近平总书记指出，要发挥行政复议公正高效、便民为民的制度优势和化解行政争议的主渠道作用。为贯彻落实习近平总书记重要指示和党中央决策部署，巩固改革成果，完善、优化行政复议制度，有效发挥行政复议化解行政争议的作用，司法部起草了行政复议法修订草案，国务院提请全国人大常委会审议。修订草案包括总则、行政复议申请、行政复议受理、行政复议审理、行政复议决定、法律责任、附则，共</w:t>
      </w:r>
      <w:r>
        <w:rPr>
          <w:rFonts w:hint="default" w:ascii="Times New Roman" w:hAnsi="Times New Roman" w:eastAsia="仿宋_GB2312" w:cs="Times New Roman"/>
          <w:sz w:val="32"/>
        </w:rPr>
        <w:t>7章86</w:t>
      </w:r>
      <w:r>
        <w:rPr>
          <w:rFonts w:hint="eastAsia" w:ascii="仿宋_GB2312" w:hAnsi="仿宋_GB2312" w:eastAsia="仿宋_GB2312" w:cs="仿宋_GB2312"/>
          <w:sz w:val="32"/>
        </w:rPr>
        <w:t>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Times New Roman" w:hAnsi="Times New Roman" w:eastAsia="仿宋_GB2312" w:cs="Times New Roman"/>
          <w:sz w:val="32"/>
        </w:rPr>
        <w:t>2022年10月</w:t>
      </w:r>
      <w:r>
        <w:rPr>
          <w:rFonts w:hint="eastAsia" w:ascii="仿宋_GB2312" w:hAnsi="仿宋_GB2312" w:eastAsia="仿宋_GB2312" w:cs="仿宋_GB2312"/>
          <w:sz w:val="32"/>
        </w:rPr>
        <w:t>，十三届全国人大常委会第三十七次会议对修订草案进行了初次审议。会后，法制工作委员会将修订草案印发部分全国人大代表、中央有关部门和单位、地方人大和基层立法联系点征求意见；在中国人大网全文公布修订草案，征求社会公众意见。宪法和法律委员会、法制工作委员会召开座谈会听取部分全国人大代表、中央有关部门和单位、专家学者的意见，赴有关地方调研，了解情况、听取意见，并就修订草案中的主要问题与有关方面交换意见、共同研究。宪法和法律委员会于</w:t>
      </w:r>
      <w:r>
        <w:rPr>
          <w:rFonts w:hint="eastAsia" w:ascii="Times New Roman" w:hAnsi="Times New Roman" w:eastAsia="仿宋_GB2312" w:cs="Times New Roman"/>
          <w:sz w:val="32"/>
        </w:rPr>
        <w:t>2023年6月1日</w:t>
      </w:r>
      <w:r>
        <w:rPr>
          <w:rFonts w:hint="eastAsia" w:ascii="仿宋_GB2312" w:hAnsi="仿宋_GB2312" w:eastAsia="仿宋_GB2312" w:cs="仿宋_GB2312"/>
          <w:sz w:val="32"/>
        </w:rPr>
        <w:t>召开会议，根据常委会组成人员的审议意见和各方面意见，对修订草案进行了逐条审议。司法部有关负责同志列席了会议。</w:t>
      </w:r>
      <w:r>
        <w:rPr>
          <w:rFonts w:hint="eastAsia" w:ascii="Times New Roman" w:hAnsi="Times New Roman" w:eastAsia="仿宋_GB2312" w:cs="Times New Roman"/>
          <w:sz w:val="32"/>
        </w:rPr>
        <w:t>6月19日</w:t>
      </w:r>
      <w:r>
        <w:rPr>
          <w:rFonts w:hint="eastAsia" w:ascii="仿宋_GB2312" w:hAnsi="仿宋_GB2312" w:eastAsia="仿宋_GB2312" w:cs="仿宋_GB2312"/>
          <w:sz w:val="32"/>
        </w:rPr>
        <w:t>，宪法和法律委员会召开会议，再次进行了审议。现将行政复议法修订草案主要问题修改情况汇报如下：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sz w:val="32"/>
        </w:rPr>
        <w:t>一、</w:t>
      </w:r>
      <w:r>
        <w:rPr>
          <w:rFonts w:hint="eastAsia" w:ascii="仿宋_GB2312" w:hAnsi="仿宋_GB2312" w:eastAsia="仿宋_GB2312" w:cs="仿宋_GB2312"/>
          <w:sz w:val="32"/>
        </w:rPr>
        <w:t>有些常委委员、单位、地方、基层立法联系点、专家和社会公众建议，贯彻落实习近平总书记重要指示精神和党中央决策部署，进一步完善立法目的和行政复议原则。宪法和法律委员会经研究，建议作以下修改：一是在立法目的中增加“推进法治政府建设”。二是在行政复议机关履职的原则中完整体现“公正高效、便民为民”的要求。三是发挥调解在行政复议中的作用，将修订草案第三十四条关于调解的内容移至总则中规定，明确调解向前延伸至行政复议案件审理前，将“审理”修改为“办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sz w:val="32"/>
        </w:rPr>
        <w:t>二、</w:t>
      </w:r>
      <w:r>
        <w:rPr>
          <w:rFonts w:hint="eastAsia" w:ascii="仿宋_GB2312" w:hAnsi="仿宋_GB2312" w:eastAsia="仿宋_GB2312" w:cs="仿宋_GB2312"/>
          <w:sz w:val="32"/>
        </w:rPr>
        <w:t>有些常委委员、部门、单位、地方、基层立法联系点、专家和社会公众建议，扩大行政复议范围，完善行政复议范围有关规定，充分发挥行政复议化解行政争议的主渠道作用。宪法和法律委员会经研究，建议作以下修改：一是将行政机关作出的赔偿决定纳入行政复议范围，明确行政协议包括“政府特许经营协议、土地房屋征收补偿协议等”，明确行政机关不履行法定职责包括“拒绝履行、未依法履行或者不予答复”。二是将行政复议不受理事项中的“行政机关作出的处分或者其他人事处理决定”修改为“行政机关对行政机关工作人员的奖惩、任免等决定”。三是删去行政复议不受理事项中“对公民、法人或者其他组织权利义务不产生实际影响的行为”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sz w:val="32"/>
        </w:rPr>
        <w:t>三、</w:t>
      </w:r>
      <w:r>
        <w:rPr>
          <w:rFonts w:hint="eastAsia" w:ascii="仿宋_GB2312" w:hAnsi="仿宋_GB2312" w:eastAsia="仿宋_GB2312" w:cs="仿宋_GB2312"/>
          <w:sz w:val="32"/>
        </w:rPr>
        <w:t>有些常委会组成人员、部门、单位、地方、基层立法联系点、专家和社会公众建议，完善行政复议审理程序和决定体系，充分保障申请人合法权益。宪法和法律委员会经研究，建议作以下修改：一是明确行政复议机关、行政复议机构在调查取证、约谈和移送违法线索等环节中的职责。二是规定行政复议机构适用一般程序审理行政复议案件，应当听取当事人的意见；因当事人原因不能听取意见的，可以采取书面审查的办法。三是对于申请人无正当理由拒不参加听证，将“可以按照撤回行政复议申请处理”修改为“视为放弃听证权利”。四是增加规定“事实不清、证据不足，经行政复议机关调查取证后查清事实和证据”的，行政复议机关决定变更该行政行为。五是将行政复议期间有关“十日”的规定明确为工作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sz w:val="32"/>
        </w:rPr>
        <w:t>四、</w:t>
      </w:r>
      <w:r>
        <w:rPr>
          <w:rFonts w:hint="eastAsia" w:ascii="仿宋_GB2312" w:hAnsi="仿宋_GB2312" w:eastAsia="仿宋_GB2312" w:cs="仿宋_GB2312"/>
          <w:sz w:val="32"/>
        </w:rPr>
        <w:t>有些常委委员、部门、单位、地方、基层立法联系点、专家和社会公众建议，进一步明确行政复议委员会的定位、提请行政复议委员会咨询的情形以及咨询意见的作用。宪法和法律委员会经研究，建议作以下修改：一是增加规定，行政复议委员会就行政复议工作中的重大事项和共性问题进行研究，提出意见和建议。二是明确行政复议机构审理案情重大、疑难、复杂等行政复议案件，应当提请行政复议委员会提出咨询意见。三是增加规定，行政复议机构审理申请人对省、自治区、直辖市人民政府作出的行政行为不服的行政复议案件，应当提请行政复议委员会提出咨询意见。四是增加规定，提请行政复议委员会咨询的案件，行政复议机关应当将咨询意见作为作出行政复议决定的重要参考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黑体" w:hAnsi="黑体" w:eastAsia="黑体" w:cs="黑体"/>
          <w:sz w:val="32"/>
        </w:rPr>
        <w:t>五、</w:t>
      </w:r>
      <w:r>
        <w:rPr>
          <w:rFonts w:hint="eastAsia" w:ascii="仿宋_GB2312" w:hAnsi="仿宋_GB2312" w:eastAsia="仿宋_GB2312" w:cs="仿宋_GB2312"/>
          <w:sz w:val="32"/>
        </w:rPr>
        <w:t>有些常委委员、全国人大代表、单位、地方、基层立法联系点、专家建议，增加对行政复议决定书的公开要求，以公开促公正，加强监督。宪法和法律委员会经研究，建议增加规定：行政复议机关应当根据被申请行政复议的行政行为的公开情况，按照国家有关规定将行政复议决定书向社会公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此外，还对修订草案作了一些文字修改。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修订草案二次审议稿已按上述意见作了修改，宪法和法律委员会建议提请本次常委会会议继续审议。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修订草案二次审议稿和以上汇报是否妥当，请审议。</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3MTQ4YzRiMTFhMWY4OTdiMTg1NTc1NDk1MzVhMGEifQ=="/>
  </w:docVars>
  <w:rsids>
    <w:rsidRoot w:val="000E703F"/>
    <w:rsid w:val="00005CBA"/>
    <w:rsid w:val="00067A46"/>
    <w:rsid w:val="00092747"/>
    <w:rsid w:val="000D6BF8"/>
    <w:rsid w:val="000D75F3"/>
    <w:rsid w:val="000E703F"/>
    <w:rsid w:val="000F7DA8"/>
    <w:rsid w:val="00110582"/>
    <w:rsid w:val="00131BA9"/>
    <w:rsid w:val="0013352A"/>
    <w:rsid w:val="00155724"/>
    <w:rsid w:val="0017546A"/>
    <w:rsid w:val="002605E3"/>
    <w:rsid w:val="00260679"/>
    <w:rsid w:val="00287411"/>
    <w:rsid w:val="002E3D11"/>
    <w:rsid w:val="002E41E6"/>
    <w:rsid w:val="002F77E5"/>
    <w:rsid w:val="00307CD3"/>
    <w:rsid w:val="00315BE5"/>
    <w:rsid w:val="00353AD7"/>
    <w:rsid w:val="003A0332"/>
    <w:rsid w:val="003F636B"/>
    <w:rsid w:val="0044207F"/>
    <w:rsid w:val="00447FE3"/>
    <w:rsid w:val="00467BA6"/>
    <w:rsid w:val="004F542C"/>
    <w:rsid w:val="00520193"/>
    <w:rsid w:val="005508C0"/>
    <w:rsid w:val="00565D87"/>
    <w:rsid w:val="005A4A7E"/>
    <w:rsid w:val="005B00E4"/>
    <w:rsid w:val="005C2E0A"/>
    <w:rsid w:val="005C49EF"/>
    <w:rsid w:val="00616EB4"/>
    <w:rsid w:val="006D3381"/>
    <w:rsid w:val="007A6644"/>
    <w:rsid w:val="00805FD5"/>
    <w:rsid w:val="008322A3"/>
    <w:rsid w:val="00863F10"/>
    <w:rsid w:val="00867A37"/>
    <w:rsid w:val="008C6B64"/>
    <w:rsid w:val="00974B4C"/>
    <w:rsid w:val="009A7609"/>
    <w:rsid w:val="009B3F75"/>
    <w:rsid w:val="009C5E66"/>
    <w:rsid w:val="00A17585"/>
    <w:rsid w:val="00A87604"/>
    <w:rsid w:val="00AE30EE"/>
    <w:rsid w:val="00B32293"/>
    <w:rsid w:val="00B55322"/>
    <w:rsid w:val="00B72AB9"/>
    <w:rsid w:val="00BB0938"/>
    <w:rsid w:val="00BC7F95"/>
    <w:rsid w:val="00C16EFC"/>
    <w:rsid w:val="00CB1CDE"/>
    <w:rsid w:val="00CC0658"/>
    <w:rsid w:val="00CD40C1"/>
    <w:rsid w:val="00CD6CD4"/>
    <w:rsid w:val="00CE14BD"/>
    <w:rsid w:val="00D0095F"/>
    <w:rsid w:val="00D625F1"/>
    <w:rsid w:val="00D64B65"/>
    <w:rsid w:val="00D950BC"/>
    <w:rsid w:val="00DB7DE9"/>
    <w:rsid w:val="00DC4D4C"/>
    <w:rsid w:val="00DD34D9"/>
    <w:rsid w:val="00E523AD"/>
    <w:rsid w:val="00EF6142"/>
    <w:rsid w:val="00F026C4"/>
    <w:rsid w:val="00F352BC"/>
    <w:rsid w:val="00F352CE"/>
    <w:rsid w:val="00F72984"/>
    <w:rsid w:val="00F747B3"/>
    <w:rsid w:val="00FA7EE2"/>
    <w:rsid w:val="00FB7760"/>
    <w:rsid w:val="00FD5A39"/>
    <w:rsid w:val="02201511"/>
    <w:rsid w:val="04FA11EE"/>
    <w:rsid w:val="0A9A241D"/>
    <w:rsid w:val="0AA97A8C"/>
    <w:rsid w:val="0CD21ED4"/>
    <w:rsid w:val="0E342A4E"/>
    <w:rsid w:val="13C42E82"/>
    <w:rsid w:val="14647839"/>
    <w:rsid w:val="148F07A9"/>
    <w:rsid w:val="1C5209CD"/>
    <w:rsid w:val="338027AA"/>
    <w:rsid w:val="40441B55"/>
    <w:rsid w:val="4058187F"/>
    <w:rsid w:val="42B80792"/>
    <w:rsid w:val="43B56E72"/>
    <w:rsid w:val="47267801"/>
    <w:rsid w:val="47525B10"/>
    <w:rsid w:val="4D4F608B"/>
    <w:rsid w:val="4EF703D2"/>
    <w:rsid w:val="4FB43828"/>
    <w:rsid w:val="56AB0D99"/>
    <w:rsid w:val="5C4528D4"/>
    <w:rsid w:val="5E446787"/>
    <w:rsid w:val="69DA6027"/>
    <w:rsid w:val="6F614293"/>
    <w:rsid w:val="6FA81DE8"/>
    <w:rsid w:val="771A18F7"/>
    <w:rsid w:val="7741504D"/>
    <w:rsid w:val="7C73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10">
    <w:name w:val="FollowedHyperlink"/>
    <w:basedOn w:val="9"/>
    <w:semiHidden/>
    <w:unhideWhenUsed/>
    <w:qFormat/>
    <w:uiPriority w:val="99"/>
    <w:rPr>
      <w:color w:val="005C81"/>
      <w:u w:val="none"/>
    </w:rPr>
  </w:style>
  <w:style w:type="character" w:styleId="11">
    <w:name w:val="Emphasis"/>
    <w:basedOn w:val="9"/>
    <w:qFormat/>
    <w:uiPriority w:val="20"/>
  </w:style>
  <w:style w:type="character" w:styleId="12">
    <w:name w:val="Hyperlink"/>
    <w:basedOn w:val="9"/>
    <w:qFormat/>
    <w:uiPriority w:val="0"/>
    <w:rPr>
      <w:color w:val="005C81"/>
      <w:u w:val="none"/>
    </w:rPr>
  </w:style>
  <w:style w:type="character" w:customStyle="1" w:styleId="13">
    <w:name w:val="页脚 字符"/>
    <w:link w:val="5"/>
    <w:qFormat/>
    <w:uiPriority w:val="99"/>
    <w:rPr>
      <w:sz w:val="18"/>
      <w:szCs w:val="18"/>
    </w:rPr>
  </w:style>
  <w:style w:type="character" w:customStyle="1" w:styleId="14">
    <w:name w:val="页眉 字符"/>
    <w:link w:val="6"/>
    <w:qFormat/>
    <w:uiPriority w:val="99"/>
    <w:rPr>
      <w:sz w:val="18"/>
      <w:szCs w:val="18"/>
    </w:rPr>
  </w:style>
  <w:style w:type="character" w:customStyle="1" w:styleId="15">
    <w:name w:val="fr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2433</Words>
  <Characters>2462</Characters>
  <Lines>61</Lines>
  <Paragraphs>17</Paragraphs>
  <TotalTime>0</TotalTime>
  <ScaleCrop>false</ScaleCrop>
  <LinksUpToDate>false</LinksUpToDate>
  <CharactersWithSpaces>2464</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2023-06-27T22:51:00Z</dcterms:created>
  <dc:creator>YF-INT6</dc:creator>
  <cp:lastModifiedBy>雷</cp:lastModifiedBy>
  <dcterms:modified xsi:type="dcterms:W3CDTF">2023-10-17T07:22:44Z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CE5106E7FDB64388B13C2C5EC24CB4BA_13</vt:lpwstr>
  </property>
  <property fmtid="{D5CDD505-2E9C-101B-9397-08002B2CF9AE}" pid="3" name="KSOProductBuildVer">
    <vt:lpwstr>2052-12.1.0.15404</vt:lpwstr>
  </property>
</Properties>
</file>