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  <w:t>广东电网输配电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  <w:t>价表</w:t>
      </w:r>
    </w:p>
    <w:p>
      <w:pPr>
        <w:rPr>
          <w:rFonts w:ascii="宋体" w:hAnsi="宋体" w:eastAsia="宋体" w:cs="宋体"/>
          <w:sz w:val="24"/>
          <w:szCs w:val="24"/>
        </w:rPr>
      </w:pPr>
    </w:p>
    <w:tbl>
      <w:tblPr>
        <w:tblStyle w:val="2"/>
        <w:tblW w:w="145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260"/>
        <w:gridCol w:w="1297"/>
        <w:gridCol w:w="1208"/>
        <w:gridCol w:w="1132"/>
        <w:gridCol w:w="1305"/>
        <w:gridCol w:w="1193"/>
        <w:gridCol w:w="1087"/>
        <w:gridCol w:w="1131"/>
        <w:gridCol w:w="1268"/>
        <w:gridCol w:w="1043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510" w:type="dxa"/>
            <w:gridSpan w:val="2"/>
            <w:vMerge w:val="restart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用电分类</w:t>
            </w:r>
          </w:p>
        </w:tc>
        <w:tc>
          <w:tcPr>
            <w:tcW w:w="4942" w:type="dxa"/>
            <w:gridSpan w:val="4"/>
            <w:vMerge w:val="restart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电量电价(元/千瓦时)</w:t>
            </w:r>
          </w:p>
        </w:tc>
        <w:tc>
          <w:tcPr>
            <w:tcW w:w="7089" w:type="dxa"/>
            <w:gridSpan w:val="6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容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需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量电价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510" w:type="dxa"/>
            <w:gridSpan w:val="2"/>
            <w:vMerge w:val="continue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4942" w:type="dxa"/>
            <w:gridSpan w:val="4"/>
            <w:vMerge w:val="continue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411" w:type="dxa"/>
            <w:gridSpan w:val="3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需量电价(元/千瓦·月)</w:t>
            </w:r>
          </w:p>
        </w:tc>
        <w:tc>
          <w:tcPr>
            <w:tcW w:w="3678" w:type="dxa"/>
            <w:gridSpan w:val="3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容量电价(元/千伏安·月)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510" w:type="dxa"/>
            <w:gridSpan w:val="2"/>
            <w:vMerge w:val="continue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不满1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千伏</w:t>
            </w:r>
          </w:p>
        </w:tc>
        <w:tc>
          <w:tcPr>
            <w:tcW w:w="1208" w:type="dxa"/>
            <w:vAlign w:val="center"/>
          </w:tcPr>
          <w:p>
            <w:pP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1-10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(20)千伏</w:t>
            </w:r>
          </w:p>
        </w:tc>
        <w:tc>
          <w:tcPr>
            <w:tcW w:w="1132" w:type="dxa"/>
            <w:vAlign w:val="center"/>
          </w:tcPr>
          <w:p>
            <w:pP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5-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110千伏</w:t>
            </w:r>
          </w:p>
        </w:tc>
        <w:tc>
          <w:tcPr>
            <w:tcW w:w="1305" w:type="dxa"/>
            <w:vAlign w:val="center"/>
          </w:tcPr>
          <w:p>
            <w:pP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220千伏及以上</w:t>
            </w:r>
          </w:p>
        </w:tc>
        <w:tc>
          <w:tcPr>
            <w:tcW w:w="1193" w:type="dxa"/>
            <w:vAlign w:val="center"/>
          </w:tcPr>
          <w:p>
            <w:pP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10(20)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千伏</w:t>
            </w:r>
          </w:p>
        </w:tc>
        <w:tc>
          <w:tcPr>
            <w:tcW w:w="1087" w:type="dxa"/>
            <w:vAlign w:val="center"/>
          </w:tcPr>
          <w:p>
            <w:pP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-110千伏</w:t>
            </w:r>
          </w:p>
        </w:tc>
        <w:tc>
          <w:tcPr>
            <w:tcW w:w="1131" w:type="dxa"/>
            <w:vAlign w:val="center"/>
          </w:tcPr>
          <w:p>
            <w:pP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220千伏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及以上</w:t>
            </w:r>
          </w:p>
        </w:tc>
        <w:tc>
          <w:tcPr>
            <w:tcW w:w="1268" w:type="dxa"/>
            <w:vAlign w:val="center"/>
          </w:tcPr>
          <w:p>
            <w:pP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1-10(20)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千伏</w:t>
            </w:r>
          </w:p>
        </w:tc>
        <w:tc>
          <w:tcPr>
            <w:tcW w:w="1043" w:type="dxa"/>
            <w:vAlign w:val="center"/>
          </w:tcPr>
          <w:p>
            <w:pP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-110千伏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br w:type="textWrapping"/>
            </w:r>
          </w:p>
        </w:tc>
        <w:tc>
          <w:tcPr>
            <w:tcW w:w="1367" w:type="dxa"/>
            <w:vAlign w:val="center"/>
          </w:tcPr>
          <w:p>
            <w:pPr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220千伏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50" w:type="dxa"/>
            <w:vMerge w:val="restart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工商业用电</w:t>
            </w:r>
          </w:p>
        </w:tc>
        <w:tc>
          <w:tcPr>
            <w:tcW w:w="1260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单一制</w:t>
            </w:r>
          </w:p>
        </w:tc>
        <w:tc>
          <w:tcPr>
            <w:tcW w:w="1297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0.1965</w:t>
            </w:r>
          </w:p>
        </w:tc>
        <w:tc>
          <w:tcPr>
            <w:tcW w:w="1208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0.1719</w:t>
            </w:r>
          </w:p>
        </w:tc>
        <w:tc>
          <w:tcPr>
            <w:tcW w:w="1132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0.1296</w:t>
            </w:r>
          </w:p>
        </w:tc>
        <w:tc>
          <w:tcPr>
            <w:tcW w:w="1305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两部制</w:t>
            </w:r>
          </w:p>
        </w:tc>
        <w:tc>
          <w:tcPr>
            <w:tcW w:w="1297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0.0985</w:t>
            </w:r>
          </w:p>
        </w:tc>
        <w:tc>
          <w:tcPr>
            <w:tcW w:w="1132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0.0734</w:t>
            </w:r>
          </w:p>
        </w:tc>
        <w:tc>
          <w:tcPr>
            <w:tcW w:w="1305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0.0457</w:t>
            </w:r>
          </w:p>
        </w:tc>
        <w:tc>
          <w:tcPr>
            <w:tcW w:w="1193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36.1</w:t>
            </w:r>
          </w:p>
        </w:tc>
        <w:tc>
          <w:tcPr>
            <w:tcW w:w="1087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31.0</w:t>
            </w:r>
          </w:p>
        </w:tc>
        <w:tc>
          <w:tcPr>
            <w:tcW w:w="1131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26.1</w:t>
            </w:r>
          </w:p>
        </w:tc>
        <w:tc>
          <w:tcPr>
            <w:tcW w:w="1268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22.6</w:t>
            </w:r>
          </w:p>
        </w:tc>
        <w:tc>
          <w:tcPr>
            <w:tcW w:w="1043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19.4</w:t>
            </w:r>
          </w:p>
        </w:tc>
        <w:tc>
          <w:tcPr>
            <w:tcW w:w="1367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16.3</w:t>
            </w:r>
          </w:p>
        </w:tc>
      </w:tr>
    </w:tbl>
    <w:p>
      <w:pPr>
        <w:widowControl w:val="0"/>
        <w:wordWrap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widowControl w:val="0"/>
        <w:wordWrap/>
        <w:adjustRightInd/>
        <w:snapToGrid/>
        <w:spacing w:line="400" w:lineRule="exact"/>
        <w:textAlignment w:val="auto"/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sz w:val="28"/>
          <w:szCs w:val="28"/>
        </w:rPr>
        <w:t>注：1．表中为广东电网（不含深圳）的平均输配电价，含增值税、闽粤联网工程容量电费、对居民和农业用户的基期交叉补贴，不含政府性基金及附加、上网环节线损费用、抽水蓄能容量电费。</w:t>
      </w:r>
    </w:p>
    <w:p>
      <w:pPr>
        <w:widowControl w:val="0"/>
        <w:wordWrap/>
        <w:adjustRightInd/>
        <w:snapToGrid/>
        <w:spacing w:line="400" w:lineRule="exact"/>
        <w:ind w:firstLine="560" w:firstLineChars="200"/>
        <w:textAlignment w:val="auto"/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2.广东电网（不含深圳）工商业用户输配电价水平在执行上表价格的基础上，还需加（减）承担（即加）或享受（即减）的广东省价区交叉补贴。珠三角5市（包括广州、珠海、佛山、中山、东莞市）工商业用电的单一制和两部制（下同）电量电价在上表价格的基础上均加0.0275元/千瓦时，惠州市电量电价在上表价格的基础上均加0.0011元/千瓦时，江门市（不含恩平市、台山市、开平市）电量电价在上表价格的基础上均加0.0237元/千瓦时，东西两翼地区（包括汕头、潮州、揭阳、汕尾、阳江、湛江、茂名、肇庆市和江门恩平市、台山市、开平市）电量电价在上表价格的基础上均减0.0580元/千瓦时，粤北山区（包括云浮、河源、梅州、韶关、清远市）电量电价在上表价格的基础上均减0.1069元/千瓦时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400" w:lineRule="exact"/>
        <w:ind w:firstLine="560" w:firstLineChars="200"/>
        <w:textAlignment w:val="auto"/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3.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原包含在输配电价内的上网环节线损费用在输配电价外单列，上网环节综合线损率为3.31%。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400" w:lineRule="exact"/>
        <w:ind w:firstLine="560" w:firstLineChars="200"/>
        <w:textAlignment w:val="auto"/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4.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原包含在输配电价内的抽水蓄能容量电费在输配电价外单列，第三监管周期广东省各年度容量电费分别为39.20亿元、39.20亿元和39.20亿元（含税）。</w:t>
      </w:r>
    </w:p>
    <w:p>
      <w:pPr>
        <w:widowControl w:val="0"/>
        <w:wordWrap/>
        <w:adjustRightInd/>
        <w:snapToGrid/>
        <w:spacing w:line="400" w:lineRule="exact"/>
        <w:ind w:firstLine="560" w:firstLineChars="200"/>
        <w:textAlignment w:val="auto"/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5.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工商业用户执行上述输配电价，居民生活、农业生产用电继续执行现行目录销售电价政策。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5NjEwYTg1ODM4ZGQ2NjI1NTRlOTIxMWM5ZjJkMzIifQ=="/>
  </w:docVars>
  <w:rsids>
    <w:rsidRoot w:val="525827C6"/>
    <w:rsid w:val="5258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2023-05-25T05:09:00Z</dcterms:created>
  <dc:creator>冯彩玲</dc:creator>
  <cp:lastModifiedBy>冯彩玲</cp:lastModifiedBy>
  <dcterms:modified xsi:type="dcterms:W3CDTF">2023-05-25T05:09:51Z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8B07F102A9494A9CA14C88CF8236201C_11</vt:lpwstr>
  </property>
</Properties>
</file>