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60" w:lineRule="exact"/>
        <w:ind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0" w:name="_Toc104490854"/>
      <w:bookmarkStart w:id="1" w:name="_Toc7970"/>
      <w:bookmarkStart w:id="2" w:name="_Toc18578"/>
      <w:r>
        <w:rPr>
          <w:rFonts w:hint="eastAsia" w:ascii="黑体" w:hAnsi="黑体" w:eastAsia="黑体" w:cs="黑体"/>
          <w:b w:val="0"/>
          <w:bCs w:val="0"/>
          <w:color w:val="auto"/>
          <w:sz w:val="32"/>
          <w:szCs w:val="32"/>
          <w:highlight w:val="none"/>
          <w:lang w:eastAsia="zh-CN"/>
        </w:rPr>
        <w:t>附件</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60" w:lineRule="exact"/>
        <w:ind w:firstLineChars="0"/>
        <w:jc w:val="both"/>
        <w:textAlignment w:val="auto"/>
        <w:rPr>
          <w:rFonts w:hint="eastAsia" w:cs="Times New Roman"/>
          <w:color w:val="auto"/>
          <w:sz w:val="32"/>
          <w:szCs w:val="32"/>
          <w:highlight w:val="none"/>
          <w:lang w:val="en-US" w:eastAsia="zh-CN"/>
        </w:rPr>
      </w:pP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60" w:lineRule="exact"/>
        <w:ind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广东电力零售市场管理办法</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60" w:lineRule="exact"/>
        <w:ind w:firstLineChars="0"/>
        <w:jc w:val="center"/>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（征求意见稿）</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3" w:name="_Toc15801"/>
      <w:bookmarkStart w:id="4" w:name="_Toc29631"/>
      <w:bookmarkStart w:id="5" w:name="_Toc22803"/>
      <w:bookmarkStart w:id="6" w:name="_Toc7045"/>
      <w:bookmarkStart w:id="7" w:name="_Toc4755"/>
      <w:bookmarkStart w:id="8" w:name="_Toc6265"/>
      <w:bookmarkStart w:id="9" w:name="_Toc27248"/>
      <w:bookmarkStart w:id="10" w:name="_Toc9340"/>
      <w:r>
        <w:rPr>
          <w:rFonts w:hint="eastAsia" w:ascii="黑体" w:hAnsi="黑体" w:eastAsia="黑体" w:cs="黑体"/>
          <w:b w:val="0"/>
          <w:bCs w:val="0"/>
          <w:color w:val="auto"/>
          <w:sz w:val="32"/>
          <w:szCs w:val="32"/>
          <w:highlight w:val="none"/>
        </w:rPr>
        <w:t>总则</w:t>
      </w:r>
      <w:bookmarkEnd w:id="0"/>
      <w:bookmarkEnd w:id="1"/>
      <w:bookmarkEnd w:id="2"/>
      <w:bookmarkEnd w:id="3"/>
      <w:bookmarkEnd w:id="4"/>
      <w:bookmarkEnd w:id="5"/>
      <w:bookmarkEnd w:id="6"/>
      <w:bookmarkEnd w:id="7"/>
      <w:bookmarkEnd w:id="8"/>
      <w:bookmarkEnd w:id="9"/>
      <w:bookmarkEnd w:id="10"/>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为加强和规范广东电力零售市场交易管理，维护零售市场秩序，保护各类市场主体的合法权益，促进电力零售市场</w:t>
      </w:r>
      <w:r>
        <w:rPr>
          <w:rFonts w:hint="eastAsia" w:ascii="Times New Roman" w:hAnsi="Times New Roman" w:eastAsia="仿宋" w:cs="Times New Roman"/>
          <w:color w:val="auto"/>
          <w:sz w:val="32"/>
          <w:szCs w:val="32"/>
          <w:highlight w:val="none"/>
          <w:lang w:eastAsia="zh-CN"/>
        </w:rPr>
        <w:t>健康</w:t>
      </w:r>
      <w:r>
        <w:rPr>
          <w:rFonts w:hint="default" w:ascii="Times New Roman" w:hAnsi="Times New Roman" w:eastAsia="仿宋" w:cs="Times New Roman"/>
          <w:color w:val="auto"/>
          <w:sz w:val="32"/>
          <w:szCs w:val="32"/>
          <w:highlight w:val="none"/>
        </w:rPr>
        <w:t>发展。根据国家有关法律、法规、政策，</w:t>
      </w:r>
      <w:r>
        <w:rPr>
          <w:rFonts w:hint="eastAsia" w:ascii="Times New Roman" w:hAnsi="Times New Roman" w:eastAsia="仿宋" w:cs="Times New Roman"/>
          <w:color w:val="auto"/>
          <w:sz w:val="32"/>
          <w:szCs w:val="32"/>
          <w:highlight w:val="none"/>
          <w:u w:val="none"/>
          <w:lang w:val="en-US"/>
        </w:rPr>
        <w:t>制定</w:t>
      </w:r>
      <w:r>
        <w:rPr>
          <w:rFonts w:hint="default" w:ascii="Times New Roman" w:hAnsi="Times New Roman" w:eastAsia="仿宋" w:cs="Times New Roman"/>
          <w:color w:val="auto"/>
          <w:sz w:val="32"/>
          <w:szCs w:val="32"/>
          <w:highlight w:val="none"/>
        </w:rPr>
        <w:t>本办法。</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本办法适用于广东电力市场</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以本</w:t>
      </w:r>
      <w:r>
        <w:rPr>
          <w:rFonts w:hint="default" w:ascii="Times New Roman" w:hAnsi="Times New Roman" w:eastAsia="仿宋" w:cs="Times New Roman"/>
          <w:color w:val="auto"/>
          <w:sz w:val="32"/>
          <w:szCs w:val="32"/>
          <w:highlight w:val="none"/>
          <w:lang w:val="en-US" w:eastAsia="zh-CN"/>
        </w:rPr>
        <w:t>办法</w:t>
      </w:r>
      <w:r>
        <w:rPr>
          <w:rFonts w:hint="default" w:ascii="Times New Roman" w:hAnsi="Times New Roman" w:eastAsia="仿宋" w:cs="Times New Roman"/>
          <w:color w:val="auto"/>
          <w:sz w:val="32"/>
          <w:szCs w:val="32"/>
          <w:highlight w:val="none"/>
        </w:rPr>
        <w:t>为基础，制定相关实施细则。本</w:t>
      </w:r>
      <w:r>
        <w:rPr>
          <w:rFonts w:hint="default" w:ascii="Times New Roman" w:hAnsi="Times New Roman" w:eastAsia="仿宋" w:cs="Times New Roman"/>
          <w:color w:val="auto"/>
          <w:sz w:val="32"/>
          <w:szCs w:val="32"/>
          <w:highlight w:val="none"/>
          <w:lang w:val="en-US" w:eastAsia="zh-CN"/>
        </w:rPr>
        <w:t>办法</w:t>
      </w:r>
      <w:r>
        <w:rPr>
          <w:rFonts w:hint="default" w:ascii="Times New Roman" w:hAnsi="Times New Roman" w:eastAsia="仿宋" w:cs="Times New Roman"/>
          <w:color w:val="auto"/>
          <w:sz w:val="32"/>
          <w:szCs w:val="32"/>
          <w:highlight w:val="none"/>
        </w:rPr>
        <w:t>及相关实施细则共同构成</w:t>
      </w:r>
      <w:r>
        <w:rPr>
          <w:rFonts w:hint="eastAsia" w:ascii="Times New Roman" w:hAnsi="Times New Roman" w:eastAsia="仿宋" w:cs="Times New Roman"/>
          <w:color w:val="auto"/>
          <w:sz w:val="32"/>
          <w:szCs w:val="32"/>
          <w:highlight w:val="none"/>
          <w:lang w:val="en-US" w:eastAsia="zh-CN"/>
        </w:rPr>
        <w:t>广东</w:t>
      </w:r>
      <w:r>
        <w:rPr>
          <w:rFonts w:hint="default" w:ascii="Times New Roman" w:hAnsi="Times New Roman" w:eastAsia="仿宋" w:cs="Times New Roman"/>
          <w:color w:val="auto"/>
          <w:sz w:val="32"/>
          <w:szCs w:val="32"/>
          <w:highlight w:val="none"/>
        </w:rPr>
        <w:t>电力</w:t>
      </w:r>
      <w:r>
        <w:rPr>
          <w:rFonts w:hint="default"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市场</w:t>
      </w:r>
      <w:r>
        <w:rPr>
          <w:rFonts w:hint="eastAsia" w:ascii="Times New Roman" w:hAnsi="Times New Roman" w:eastAsia="仿宋" w:cs="Times New Roman"/>
          <w:color w:val="auto"/>
          <w:sz w:val="32"/>
          <w:szCs w:val="32"/>
          <w:highlight w:val="none"/>
          <w:lang w:val="en-US" w:eastAsia="zh-CN"/>
        </w:rPr>
        <w:t>管理</w:t>
      </w:r>
      <w:r>
        <w:rPr>
          <w:rFonts w:hint="default" w:ascii="Times New Roman" w:hAnsi="Times New Roman" w:eastAsia="仿宋" w:cs="Times New Roman"/>
          <w:color w:val="auto"/>
          <w:sz w:val="32"/>
          <w:szCs w:val="32"/>
          <w:highlight w:val="none"/>
        </w:rPr>
        <w:t>体系。任何市场成员从事广东电力</w:t>
      </w:r>
      <w:r>
        <w:rPr>
          <w:rFonts w:hint="eastAsia" w:ascii="Times New Roman" w:hAnsi="Times New Roman" w:eastAsia="仿宋" w:cs="Times New Roman"/>
          <w:color w:val="auto"/>
          <w:sz w:val="32"/>
          <w:szCs w:val="32"/>
          <w:highlight w:val="none"/>
          <w:lang w:val="en-US" w:eastAsia="zh-CN"/>
        </w:rPr>
        <w:t>市场</w:t>
      </w:r>
      <w:r>
        <w:rPr>
          <w:rFonts w:hint="default" w:ascii="Times New Roman" w:hAnsi="Times New Roman" w:eastAsia="仿宋" w:cs="Times New Roman"/>
          <w:color w:val="auto"/>
          <w:sz w:val="32"/>
          <w:szCs w:val="32"/>
          <w:highlight w:val="none"/>
        </w:rPr>
        <w:t>零售交易及其相关活动，应当遵守</w:t>
      </w:r>
      <w:r>
        <w:rPr>
          <w:rFonts w:hint="eastAsia" w:ascii="Times New Roman" w:hAnsi="Times New Roman" w:eastAsia="仿宋" w:cs="Times New Roman"/>
          <w:color w:val="auto"/>
          <w:sz w:val="32"/>
          <w:szCs w:val="32"/>
          <w:highlight w:val="none"/>
          <w:lang w:val="en-US" w:eastAsia="zh-CN"/>
        </w:rPr>
        <w:t>广东</w:t>
      </w:r>
      <w:r>
        <w:rPr>
          <w:rFonts w:hint="default" w:ascii="Times New Roman" w:hAnsi="Times New Roman" w:eastAsia="仿宋" w:cs="Times New Roman"/>
          <w:color w:val="auto"/>
          <w:sz w:val="32"/>
          <w:szCs w:val="32"/>
          <w:highlight w:val="none"/>
        </w:rPr>
        <w:t>电力</w:t>
      </w:r>
      <w:r>
        <w:rPr>
          <w:rFonts w:hint="default"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市场</w:t>
      </w:r>
      <w:r>
        <w:rPr>
          <w:rFonts w:hint="eastAsia" w:ascii="Times New Roman" w:hAnsi="Times New Roman" w:eastAsia="仿宋" w:cs="Times New Roman"/>
          <w:color w:val="auto"/>
          <w:sz w:val="32"/>
          <w:szCs w:val="32"/>
          <w:highlight w:val="none"/>
          <w:lang w:val="en-US" w:eastAsia="zh-CN"/>
        </w:rPr>
        <w:t>管理体系</w:t>
      </w:r>
      <w:r>
        <w:rPr>
          <w:rFonts w:hint="default"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广东电力零售市场运行坚持依法合规、开放竞争、安全高效、自律管理、优质服务、常态监管的原则。</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电力零售市场活动，应当遵循公开、公平、公正和诚实信用的原则。</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广东电力交易中心有限责任公司（以下简称“</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负责向市场主体提供支撑</w:t>
      </w:r>
      <w:r>
        <w:rPr>
          <w:rFonts w:hint="default" w:ascii="Times New Roman" w:hAnsi="Times New Roman" w:eastAsia="仿宋" w:cs="Times New Roman"/>
          <w:color w:val="auto"/>
          <w:sz w:val="32"/>
          <w:szCs w:val="32"/>
          <w:highlight w:val="none"/>
        </w:rPr>
        <w:t>广东电力零售市场交易的信息技术系统</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以下简称“</w:t>
      </w:r>
      <w:r>
        <w:rPr>
          <w:rFonts w:hint="eastAsia" w:ascii="Times New Roman" w:hAnsi="Times New Roman" w:eastAsia="仿宋" w:cs="Times New Roman"/>
          <w:color w:val="auto"/>
          <w:sz w:val="32"/>
          <w:szCs w:val="32"/>
          <w:highlight w:val="none"/>
          <w:lang w:val="en-US" w:eastAsia="zh-CN"/>
        </w:rPr>
        <w:t>零售平台</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承担零售平台有关</w:t>
      </w:r>
      <w:r>
        <w:rPr>
          <w:rFonts w:hint="default" w:ascii="Times New Roman" w:hAnsi="Times New Roman" w:eastAsia="仿宋" w:cs="Times New Roman"/>
          <w:color w:val="auto"/>
          <w:sz w:val="32"/>
          <w:szCs w:val="32"/>
          <w:highlight w:val="none"/>
        </w:rPr>
        <w:t>零售</w:t>
      </w:r>
      <w:r>
        <w:rPr>
          <w:rFonts w:hint="eastAsia" w:ascii="Times New Roman" w:hAnsi="Times New Roman" w:eastAsia="仿宋" w:cs="Times New Roman"/>
          <w:color w:val="auto"/>
          <w:sz w:val="32"/>
          <w:szCs w:val="32"/>
          <w:highlight w:val="none"/>
          <w:lang w:val="en-US" w:eastAsia="zh-CN"/>
        </w:rPr>
        <w:t>交易活动</w:t>
      </w:r>
      <w:r>
        <w:rPr>
          <w:rFonts w:hint="default" w:ascii="Times New Roman" w:hAnsi="Times New Roman" w:eastAsia="仿宋" w:cs="Times New Roman"/>
          <w:color w:val="auto"/>
          <w:sz w:val="32"/>
          <w:szCs w:val="32"/>
          <w:highlight w:val="none"/>
        </w:rPr>
        <w:t>管理。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政府主管</w:t>
      </w:r>
      <w:r>
        <w:rPr>
          <w:rFonts w:hint="eastAsia" w:ascii="Times New Roman" w:hAnsi="Times New Roman" w:eastAsia="仿宋" w:cs="Times New Roman"/>
          <w:color w:val="auto"/>
          <w:sz w:val="32"/>
          <w:szCs w:val="32"/>
          <w:highlight w:val="none"/>
          <w:lang w:eastAsia="zh-CN"/>
        </w:rPr>
        <w:t>部门、能源监管机构等</w:t>
      </w:r>
      <w:r>
        <w:rPr>
          <w:rFonts w:hint="default" w:ascii="Times New Roman" w:hAnsi="Times New Roman" w:eastAsia="仿宋" w:cs="Times New Roman"/>
          <w:color w:val="auto"/>
          <w:sz w:val="32"/>
          <w:szCs w:val="32"/>
          <w:highlight w:val="none"/>
        </w:rPr>
        <w:t>依法</w:t>
      </w:r>
      <w:r>
        <w:rPr>
          <w:rFonts w:hint="eastAsia" w:ascii="Times New Roman" w:hAnsi="Times New Roman" w:eastAsia="仿宋" w:cs="Times New Roman"/>
          <w:color w:val="auto"/>
          <w:sz w:val="32"/>
          <w:szCs w:val="32"/>
          <w:highlight w:val="none"/>
          <w:lang w:eastAsia="zh-CN"/>
        </w:rPr>
        <w:t>对</w:t>
      </w:r>
      <w:r>
        <w:rPr>
          <w:rFonts w:hint="eastAsia" w:ascii="Times New Roman" w:hAnsi="Times New Roman" w:eastAsia="仿宋" w:cs="Times New Roman"/>
          <w:color w:val="auto"/>
          <w:sz w:val="32"/>
          <w:szCs w:val="32"/>
          <w:highlight w:val="none"/>
          <w:lang w:val="en-US" w:eastAsia="zh-CN"/>
        </w:rPr>
        <w:t>零售</w:t>
      </w:r>
      <w:r>
        <w:rPr>
          <w:rFonts w:hint="eastAsia" w:ascii="Times New Roman" w:hAnsi="Times New Roman" w:eastAsia="仿宋" w:cs="Times New Roman"/>
          <w:color w:val="auto"/>
          <w:sz w:val="32"/>
          <w:szCs w:val="32"/>
          <w:highlight w:val="none"/>
          <w:lang w:eastAsia="zh-CN"/>
        </w:rPr>
        <w:t>市场行为实施监管。</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11" w:name="_Toc5488"/>
      <w:bookmarkStart w:id="12" w:name="_Toc104490857"/>
      <w:bookmarkStart w:id="13" w:name="_Toc20111"/>
      <w:bookmarkStart w:id="14" w:name="_Toc10795"/>
      <w:bookmarkStart w:id="15" w:name="_Toc5314"/>
      <w:bookmarkStart w:id="16" w:name="_Toc13421"/>
      <w:bookmarkStart w:id="17" w:name="_Toc6454"/>
      <w:bookmarkStart w:id="18" w:name="_Toc13079"/>
      <w:bookmarkStart w:id="19" w:name="_Toc23174"/>
      <w:bookmarkStart w:id="20" w:name="_Toc24684"/>
      <w:bookmarkStart w:id="21" w:name="_Toc12378"/>
      <w:bookmarkStart w:id="22" w:name="_Toc13513"/>
      <w:r>
        <w:rPr>
          <w:rFonts w:hint="default" w:ascii="黑体" w:hAnsi="黑体" w:eastAsia="黑体" w:cs="黑体"/>
          <w:b w:val="0"/>
          <w:bCs w:val="0"/>
          <w:color w:val="auto"/>
          <w:sz w:val="32"/>
          <w:szCs w:val="32"/>
          <w:highlight w:val="none"/>
        </w:rPr>
        <w:t>权利与义务</w:t>
      </w:r>
      <w:bookmarkEnd w:id="11"/>
      <w:bookmarkEnd w:id="12"/>
      <w:bookmarkEnd w:id="13"/>
      <w:bookmarkEnd w:id="14"/>
      <w:bookmarkEnd w:id="15"/>
      <w:bookmarkEnd w:id="16"/>
      <w:bookmarkEnd w:id="17"/>
      <w:bookmarkEnd w:id="18"/>
      <w:bookmarkEnd w:id="19"/>
      <w:bookmarkEnd w:id="20"/>
      <w:bookmarkEnd w:id="21"/>
      <w:bookmarkEnd w:id="22"/>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bookmarkStart w:id="23" w:name="_Toc18432"/>
      <w:r>
        <w:rPr>
          <w:rFonts w:hint="default" w:ascii="Times New Roman" w:hAnsi="Times New Roman" w:eastAsia="仿宋" w:cs="Times New Roman"/>
          <w:color w:val="auto"/>
          <w:sz w:val="32"/>
          <w:szCs w:val="32"/>
          <w:highlight w:val="none"/>
        </w:rPr>
        <w:t>零售用户的权利与义务</w:t>
      </w:r>
      <w:bookmarkEnd w:id="23"/>
      <w:r>
        <w:rPr>
          <w:rFonts w:hint="eastAsia" w:ascii="Times New Roman" w:hAnsi="Times New Roman" w:eastAsia="仿宋" w:cs="Times New Roman"/>
          <w:color w:val="auto"/>
          <w:sz w:val="32"/>
          <w:szCs w:val="32"/>
          <w:highlight w:val="none"/>
          <w:lang w:eastAsia="zh-CN"/>
        </w:rPr>
        <w:t>。</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参与电力零售交易，签订和履行零售合同、供用电合同等。</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获得公平的输配电服务和电网接入服务，按规定支付购电费、输配电费、政府性基金</w:t>
      </w:r>
      <w:r>
        <w:rPr>
          <w:rFonts w:hint="eastAsia" w:hAnsi="Times New Roman" w:eastAsia="仿宋"/>
          <w:color w:val="auto"/>
          <w:sz w:val="32"/>
          <w:szCs w:val="32"/>
          <w:highlight w:val="none"/>
          <w:lang w:val="en-US" w:eastAsia="zh-CN"/>
        </w:rPr>
        <w:t>及</w:t>
      </w:r>
      <w:r>
        <w:rPr>
          <w:rFonts w:hint="default" w:ascii="Times New Roman" w:hAnsi="Times New Roman" w:eastAsia="仿宋"/>
          <w:color w:val="auto"/>
          <w:sz w:val="32"/>
          <w:szCs w:val="32"/>
          <w:highlight w:val="none"/>
        </w:rPr>
        <w:t>附加等。</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按规定披露和提供信息，获得市场交易和输配电服务等相关交易信息</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所提供的信息应当真实、准确、完整、有效。</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遵守有关电力需求侧管理规定，执行</w:t>
      </w:r>
      <w:r>
        <w:rPr>
          <w:rFonts w:hint="eastAsia" w:hAnsi="Times New Roman" w:eastAsia="仿宋"/>
          <w:color w:val="auto"/>
          <w:sz w:val="32"/>
          <w:szCs w:val="32"/>
          <w:highlight w:val="none"/>
          <w:lang w:val="en-US" w:eastAsia="zh-CN"/>
        </w:rPr>
        <w:t>用电负荷</w:t>
      </w:r>
      <w:r>
        <w:rPr>
          <w:rFonts w:hint="default" w:ascii="Times New Roman" w:hAnsi="Times New Roman" w:eastAsia="仿宋"/>
          <w:color w:val="auto"/>
          <w:sz w:val="32"/>
          <w:szCs w:val="32"/>
          <w:highlight w:val="none"/>
        </w:rPr>
        <w:t>管理。</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根据</w:t>
      </w:r>
      <w:r>
        <w:rPr>
          <w:rFonts w:hint="eastAsia" w:hAnsi="Times New Roman" w:eastAsia="仿宋"/>
          <w:color w:val="auto"/>
          <w:sz w:val="32"/>
          <w:szCs w:val="32"/>
          <w:highlight w:val="none"/>
          <w:lang w:val="en-US" w:eastAsia="zh-CN"/>
        </w:rPr>
        <w:t>电网企业（包括增量配网企业）出具的</w:t>
      </w:r>
      <w:r>
        <w:rPr>
          <w:rFonts w:hint="default" w:ascii="Times New Roman" w:hAnsi="Times New Roman" w:eastAsia="仿宋"/>
          <w:color w:val="auto"/>
          <w:sz w:val="32"/>
          <w:szCs w:val="32"/>
          <w:highlight w:val="none"/>
        </w:rPr>
        <w:t>结算通知单</w:t>
      </w:r>
      <w:r>
        <w:rPr>
          <w:rFonts w:hint="eastAsia" w:ascii="Times New Roman" w:hAnsi="Times New Roman" w:eastAsia="仿宋"/>
          <w:color w:val="auto"/>
          <w:sz w:val="32"/>
          <w:szCs w:val="32"/>
          <w:highlight w:val="none"/>
          <w:lang w:val="en-US" w:eastAsia="zh-CN"/>
        </w:rPr>
        <w:t>支付</w:t>
      </w:r>
      <w:r>
        <w:rPr>
          <w:rFonts w:hint="eastAsia" w:hAnsi="Times New Roman" w:eastAsia="仿宋"/>
          <w:color w:val="auto"/>
          <w:sz w:val="32"/>
          <w:szCs w:val="32"/>
          <w:highlight w:val="none"/>
          <w:lang w:val="en-US" w:eastAsia="zh-CN"/>
        </w:rPr>
        <w:t>或收取</w:t>
      </w:r>
      <w:r>
        <w:rPr>
          <w:rFonts w:hint="eastAsia" w:ascii="Times New Roman" w:hAnsi="Times New Roman" w:eastAsia="仿宋"/>
          <w:color w:val="auto"/>
          <w:sz w:val="32"/>
          <w:szCs w:val="32"/>
          <w:highlight w:val="none"/>
          <w:lang w:val="en-US" w:eastAsia="zh-CN"/>
        </w:rPr>
        <w:t>结算电费</w:t>
      </w:r>
      <w:r>
        <w:rPr>
          <w:rFonts w:hint="eastAsia"/>
          <w:highlight w:val="none"/>
          <w:lang w:eastAsia="zh-CN"/>
        </w:rPr>
        <w:t>、</w:t>
      </w:r>
      <w:r>
        <w:rPr>
          <w:rFonts w:hint="default" w:ascii="Times New Roman" w:hAnsi="Times New Roman" w:eastAsia="仿宋"/>
          <w:color w:val="auto"/>
          <w:sz w:val="32"/>
          <w:szCs w:val="32"/>
          <w:highlight w:val="none"/>
        </w:rPr>
        <w:t>获取</w:t>
      </w:r>
      <w:r>
        <w:rPr>
          <w:rFonts w:hint="eastAsia" w:hAnsi="Times New Roman" w:eastAsia="仿宋"/>
          <w:color w:val="auto"/>
          <w:sz w:val="32"/>
          <w:szCs w:val="32"/>
          <w:highlight w:val="none"/>
          <w:lang w:val="en-US" w:eastAsia="zh-CN"/>
        </w:rPr>
        <w:t>或开具电费</w:t>
      </w:r>
      <w:r>
        <w:rPr>
          <w:rFonts w:hint="default" w:ascii="Times New Roman" w:hAnsi="Times New Roman" w:eastAsia="仿宋"/>
          <w:color w:val="auto"/>
          <w:sz w:val="32"/>
          <w:szCs w:val="32"/>
          <w:highlight w:val="none"/>
        </w:rPr>
        <w:t>发票</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包括增值税专用发票</w:t>
      </w:r>
      <w:r>
        <w:rPr>
          <w:rFonts w:hint="eastAsia"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w:t>
      </w:r>
    </w:p>
    <w:p>
      <w:pPr>
        <w:pStyle w:val="36"/>
        <w:pageBreakBefore w:val="0"/>
        <w:numPr>
          <w:ilvl w:val="0"/>
          <w:numId w:val="5"/>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法律法规规定的其他权利和义务。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bookmarkStart w:id="24" w:name="_Toc3983"/>
      <w:r>
        <w:rPr>
          <w:rFonts w:hint="default" w:ascii="Times New Roman" w:hAnsi="Times New Roman" w:eastAsia="仿宋" w:cs="Times New Roman"/>
          <w:color w:val="auto"/>
          <w:sz w:val="32"/>
          <w:szCs w:val="32"/>
          <w:highlight w:val="none"/>
        </w:rPr>
        <w:t>售电公司的权利与义务</w:t>
      </w:r>
      <w:bookmarkEnd w:id="24"/>
      <w:r>
        <w:rPr>
          <w:rFonts w:hint="eastAsia" w:ascii="Times New Roman" w:hAnsi="Times New Roman" w:eastAsia="仿宋" w:cs="Times New Roman"/>
          <w:color w:val="auto"/>
          <w:sz w:val="32"/>
          <w:szCs w:val="32"/>
          <w:highlight w:val="none"/>
          <w:lang w:eastAsia="zh-CN"/>
        </w:rPr>
        <w:t>。</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bookmarkStart w:id="25" w:name="_Toc27007"/>
      <w:r>
        <w:rPr>
          <w:rFonts w:hint="default" w:ascii="Times New Roman" w:hAnsi="Times New Roman" w:eastAsia="仿宋"/>
          <w:color w:val="auto"/>
          <w:sz w:val="32"/>
          <w:szCs w:val="32"/>
          <w:highlight w:val="none"/>
        </w:rPr>
        <w:t>参与电力零售交易，签订和履行零售合同等。</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按照国家有关规定，在指定网站上公示公司资产、经营状况等</w:t>
      </w:r>
      <w:r>
        <w:rPr>
          <w:rFonts w:hint="eastAsia" w:hAnsi="Times New Roman" w:eastAsia="仿宋"/>
          <w:color w:val="auto"/>
          <w:sz w:val="32"/>
          <w:szCs w:val="32"/>
          <w:highlight w:val="none"/>
          <w:lang w:val="en-US"/>
        </w:rPr>
        <w:t>情况</w:t>
      </w:r>
      <w:r>
        <w:rPr>
          <w:rFonts w:hint="default" w:ascii="Times New Roman" w:hAnsi="Times New Roman" w:eastAsia="仿宋"/>
          <w:color w:val="auto"/>
          <w:sz w:val="32"/>
          <w:szCs w:val="32"/>
          <w:highlight w:val="none"/>
        </w:rPr>
        <w:t>和信用承诺，对公司重大事项进行公告，并定期公布公司年报。</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按规定披露和提供信息，获得市场交易和输配电服务等相关信息。</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应承担保密义务，不得泄露用户信息。</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根据</w:t>
      </w:r>
      <w:r>
        <w:rPr>
          <w:rFonts w:hint="eastAsia" w:hAnsi="Times New Roman" w:eastAsia="仿宋"/>
          <w:color w:val="auto"/>
          <w:sz w:val="32"/>
          <w:szCs w:val="32"/>
          <w:highlight w:val="none"/>
          <w:lang w:val="en-US" w:eastAsia="zh-CN"/>
        </w:rPr>
        <w:t>电网企业出具的</w:t>
      </w:r>
      <w:r>
        <w:rPr>
          <w:rFonts w:hint="default" w:ascii="Times New Roman" w:hAnsi="Times New Roman" w:eastAsia="仿宋"/>
          <w:color w:val="auto"/>
          <w:sz w:val="32"/>
          <w:szCs w:val="32"/>
          <w:highlight w:val="none"/>
        </w:rPr>
        <w:t>结算通知单获取或开具增值税</w:t>
      </w:r>
      <w:r>
        <w:rPr>
          <w:rFonts w:hint="eastAsia" w:hAnsi="Times New Roman" w:eastAsia="仿宋"/>
          <w:color w:val="auto"/>
          <w:sz w:val="32"/>
          <w:szCs w:val="32"/>
          <w:highlight w:val="none"/>
          <w:lang w:val="en-US" w:eastAsia="zh-CN"/>
        </w:rPr>
        <w:t>专用</w:t>
      </w:r>
      <w:r>
        <w:rPr>
          <w:rFonts w:hint="default" w:ascii="Times New Roman" w:hAnsi="Times New Roman" w:eastAsia="仿宋"/>
          <w:color w:val="auto"/>
          <w:sz w:val="32"/>
          <w:szCs w:val="32"/>
          <w:highlight w:val="none"/>
        </w:rPr>
        <w:t>发票</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支付或者收取结算电费</w:t>
      </w:r>
      <w:r>
        <w:rPr>
          <w:rFonts w:hint="default" w:ascii="Times New Roman" w:hAnsi="Times New Roman" w:eastAsia="仿宋"/>
          <w:color w:val="auto"/>
          <w:sz w:val="32"/>
          <w:szCs w:val="32"/>
          <w:highlight w:val="none"/>
        </w:rPr>
        <w:t>。</w:t>
      </w:r>
    </w:p>
    <w:p>
      <w:pPr>
        <w:pStyle w:val="36"/>
        <w:pageBreakBefore w:val="0"/>
        <w:numPr>
          <w:ilvl w:val="0"/>
          <w:numId w:val="6"/>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法律法规规定的其他权利和义务。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的权利与义务</w:t>
      </w:r>
      <w:bookmarkEnd w:id="25"/>
      <w:r>
        <w:rPr>
          <w:rFonts w:hint="eastAsia" w:ascii="Times New Roman" w:hAnsi="Times New Roman" w:eastAsia="仿宋" w:cs="Times New Roman"/>
          <w:color w:val="auto"/>
          <w:sz w:val="32"/>
          <w:szCs w:val="32"/>
          <w:highlight w:val="none"/>
          <w:lang w:eastAsia="zh-CN"/>
        </w:rPr>
        <w:t>。</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提供电力零售交易的场所、设施。</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研究拟</w:t>
      </w:r>
      <w:r>
        <w:rPr>
          <w:rFonts w:hint="eastAsia" w:hAnsi="Times New Roman" w:eastAsia="仿宋"/>
          <w:color w:val="auto"/>
          <w:sz w:val="32"/>
          <w:szCs w:val="32"/>
          <w:highlight w:val="none"/>
          <w:lang w:val="en-US" w:eastAsia="zh-CN"/>
        </w:rPr>
        <w:t>订</w:t>
      </w:r>
      <w:r>
        <w:rPr>
          <w:rFonts w:hint="default" w:ascii="Times New Roman" w:hAnsi="Times New Roman" w:eastAsia="仿宋"/>
          <w:color w:val="auto"/>
          <w:sz w:val="32"/>
          <w:szCs w:val="32"/>
          <w:highlight w:val="none"/>
        </w:rPr>
        <w:t>电力零售交易规则</w:t>
      </w:r>
      <w:r>
        <w:rPr>
          <w:rFonts w:hint="eastAsia" w:hAnsi="Times New Roman" w:eastAsia="仿宋"/>
          <w:color w:val="auto"/>
          <w:sz w:val="32"/>
          <w:szCs w:val="32"/>
          <w:highlight w:val="none"/>
          <w:lang w:val="en-US" w:eastAsia="zh-CN"/>
        </w:rPr>
        <w:t>和有关制度</w:t>
      </w:r>
      <w:r>
        <w:rPr>
          <w:rFonts w:hint="default" w:ascii="Times New Roman" w:hAnsi="Times New Roman" w:eastAsia="仿宋"/>
          <w:color w:val="auto"/>
          <w:sz w:val="32"/>
          <w:szCs w:val="32"/>
          <w:highlight w:val="none"/>
        </w:rPr>
        <w:t>。</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组织和管理电力零售交易。</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负责市场主体注册管理，管理零售平台使用账户，管理成员注册信息和档案资料。</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eastAsia" w:hAnsi="Times New Roman" w:eastAsia="仿宋"/>
          <w:color w:val="auto"/>
          <w:sz w:val="32"/>
          <w:szCs w:val="32"/>
          <w:highlight w:val="none"/>
          <w:lang w:val="en-US" w:eastAsia="zh-CN"/>
        </w:rPr>
        <w:t>拟订零售交易合同范本，</w:t>
      </w:r>
      <w:r>
        <w:rPr>
          <w:rFonts w:hint="default" w:ascii="Times New Roman" w:hAnsi="Times New Roman" w:eastAsia="仿宋"/>
          <w:color w:val="auto"/>
          <w:sz w:val="32"/>
          <w:szCs w:val="32"/>
          <w:highlight w:val="none"/>
        </w:rPr>
        <w:t>提供电力交易结算依据及相关服务。</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监</w:t>
      </w:r>
      <w:r>
        <w:rPr>
          <w:rFonts w:hint="eastAsia" w:hAnsi="Times New Roman" w:eastAsia="仿宋"/>
          <w:color w:val="auto"/>
          <w:sz w:val="32"/>
          <w:szCs w:val="32"/>
          <w:highlight w:val="none"/>
          <w:lang w:val="en-US" w:eastAsia="zh-CN"/>
        </w:rPr>
        <w:t>测</w:t>
      </w:r>
      <w:r>
        <w:rPr>
          <w:rFonts w:hint="default" w:ascii="Times New Roman" w:hAnsi="Times New Roman" w:eastAsia="仿宋"/>
          <w:color w:val="auto"/>
          <w:sz w:val="32"/>
          <w:szCs w:val="32"/>
          <w:highlight w:val="none"/>
        </w:rPr>
        <w:t>和分析市场运行情况。</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根据市场交易实际需要，规划、建设功能健全、运行可靠的零售平台；负责零售平台的运营，支撑市场主体接入和各类</w:t>
      </w:r>
      <w:r>
        <w:rPr>
          <w:rFonts w:hint="eastAsia" w:hAnsi="Times New Roman" w:eastAsia="仿宋"/>
          <w:color w:val="auto"/>
          <w:sz w:val="32"/>
          <w:szCs w:val="32"/>
          <w:highlight w:val="none"/>
          <w:lang w:val="en-US" w:eastAsia="zh-CN"/>
        </w:rPr>
        <w:t>电力</w:t>
      </w:r>
      <w:r>
        <w:rPr>
          <w:rFonts w:hint="default" w:ascii="Times New Roman" w:hAnsi="Times New Roman" w:eastAsia="仿宋"/>
          <w:color w:val="auto"/>
          <w:sz w:val="32"/>
          <w:szCs w:val="32"/>
          <w:highlight w:val="none"/>
        </w:rPr>
        <w:t>交易开展。</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配合对市场运营规则进行分析评估，提出修改建议。</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eastAsia" w:hAnsi="Times New Roman" w:eastAsia="仿宋"/>
          <w:color w:val="auto"/>
          <w:sz w:val="32"/>
          <w:szCs w:val="32"/>
          <w:highlight w:val="none"/>
          <w:lang w:val="en-US" w:eastAsia="zh-CN"/>
        </w:rPr>
        <w:t>经授权</w:t>
      </w:r>
      <w:r>
        <w:rPr>
          <w:rFonts w:hint="default" w:ascii="Times New Roman" w:hAnsi="Times New Roman" w:eastAsia="仿宋"/>
          <w:color w:val="auto"/>
          <w:sz w:val="32"/>
          <w:szCs w:val="32"/>
          <w:highlight w:val="none"/>
        </w:rPr>
        <w:t>开展市场主体信用评价，维护市场秩序。</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按规定披露和发布信息。</w:t>
      </w:r>
    </w:p>
    <w:p>
      <w:pPr>
        <w:pStyle w:val="36"/>
        <w:pageBreakBefore w:val="0"/>
        <w:numPr>
          <w:ilvl w:val="0"/>
          <w:numId w:val="7"/>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法律法规规定的其他权利和义务。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bookmarkStart w:id="26" w:name="_Toc13508"/>
      <w:r>
        <w:rPr>
          <w:rFonts w:hint="default" w:ascii="Times New Roman" w:hAnsi="Times New Roman" w:eastAsia="仿宋" w:cs="Times New Roman"/>
          <w:color w:val="auto"/>
          <w:sz w:val="32"/>
          <w:szCs w:val="32"/>
          <w:highlight w:val="none"/>
        </w:rPr>
        <w:t>电网企业的权利与义务</w:t>
      </w:r>
      <w:bookmarkEnd w:id="26"/>
      <w:r>
        <w:rPr>
          <w:rFonts w:hint="eastAsia" w:ascii="Times New Roman" w:hAnsi="Times New Roman" w:eastAsia="仿宋" w:cs="Times New Roman"/>
          <w:color w:val="auto"/>
          <w:sz w:val="32"/>
          <w:szCs w:val="32"/>
          <w:highlight w:val="none"/>
          <w:lang w:eastAsia="zh-CN"/>
        </w:rPr>
        <w:t>。</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lang w:val="zh-CN"/>
        </w:rPr>
      </w:pPr>
      <w:r>
        <w:rPr>
          <w:rFonts w:hint="default" w:ascii="Times New Roman" w:hAnsi="Times New Roman" w:eastAsia="仿宋"/>
          <w:color w:val="auto"/>
          <w:sz w:val="32"/>
          <w:szCs w:val="32"/>
          <w:highlight w:val="none"/>
          <w:lang w:val="zh-CN"/>
        </w:rPr>
        <w:t>保障输配电设施的安全稳定运行。</w:t>
      </w:r>
      <w:r>
        <w:rPr>
          <w:rFonts w:ascii="Times New Roman" w:hAnsi="Times New Roman" w:eastAsia="仿宋"/>
          <w:color w:val="auto"/>
          <w:sz w:val="32"/>
          <w:szCs w:val="32"/>
          <w:highlight w:val="none"/>
          <w:lang w:val="zh-CN"/>
        </w:rPr>
        <w:t xml:space="preserve"> </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lang w:val="zh-CN"/>
        </w:rPr>
      </w:pPr>
      <w:r>
        <w:rPr>
          <w:rFonts w:hint="default" w:ascii="Times New Roman" w:hAnsi="Times New Roman" w:eastAsia="仿宋"/>
          <w:color w:val="auto"/>
          <w:sz w:val="32"/>
          <w:szCs w:val="32"/>
          <w:highlight w:val="none"/>
          <w:lang w:val="zh-CN"/>
        </w:rPr>
        <w:t>为市场主体提供公平的输配电服务和电网接入服务。</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lang w:val="zh-CN"/>
        </w:rPr>
      </w:pPr>
      <w:r>
        <w:rPr>
          <w:rFonts w:hint="default" w:ascii="Times New Roman" w:hAnsi="Times New Roman" w:eastAsia="仿宋"/>
          <w:color w:val="auto"/>
          <w:sz w:val="32"/>
          <w:szCs w:val="32"/>
          <w:highlight w:val="none"/>
          <w:lang w:val="zh-CN"/>
        </w:rPr>
        <w:t>向市场主体提供报装、计量、抄表、</w:t>
      </w:r>
      <w:r>
        <w:rPr>
          <w:rFonts w:hint="eastAsia" w:hAnsi="Times New Roman" w:eastAsia="仿宋"/>
          <w:color w:val="auto"/>
          <w:sz w:val="32"/>
          <w:szCs w:val="32"/>
          <w:highlight w:val="none"/>
          <w:lang w:val="en-US" w:eastAsia="zh-CN"/>
        </w:rPr>
        <w:t>结算</w:t>
      </w:r>
      <w:r>
        <w:rPr>
          <w:rFonts w:hint="default" w:ascii="Times New Roman" w:hAnsi="Times New Roman" w:eastAsia="仿宋"/>
          <w:color w:val="auto"/>
          <w:sz w:val="32"/>
          <w:szCs w:val="32"/>
          <w:highlight w:val="none"/>
          <w:lang w:val="zh-CN"/>
        </w:rPr>
        <w:t>等各类供电服务。</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lang w:val="zh-CN"/>
        </w:rPr>
        <w:t>按规定收取输配电费用，归集交叉补贴，代国家收取政府性基金</w:t>
      </w:r>
      <w:r>
        <w:rPr>
          <w:rFonts w:hint="eastAsia" w:hAnsi="Times New Roman" w:eastAsia="仿宋"/>
          <w:color w:val="auto"/>
          <w:sz w:val="32"/>
          <w:szCs w:val="32"/>
          <w:highlight w:val="none"/>
          <w:lang w:val="en-US" w:eastAsia="zh-CN"/>
        </w:rPr>
        <w:t>及</w:t>
      </w:r>
      <w:r>
        <w:rPr>
          <w:rFonts w:hint="default" w:ascii="Times New Roman" w:hAnsi="Times New Roman" w:eastAsia="仿宋"/>
          <w:color w:val="auto"/>
          <w:sz w:val="32"/>
          <w:szCs w:val="32"/>
          <w:highlight w:val="none"/>
          <w:lang w:val="zh-CN"/>
        </w:rPr>
        <w:t>附加等。</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lang w:val="zh-CN"/>
        </w:rPr>
      </w:pPr>
      <w:r>
        <w:rPr>
          <w:rFonts w:hint="default" w:ascii="Times New Roman" w:hAnsi="Times New Roman" w:eastAsia="仿宋"/>
          <w:color w:val="auto"/>
          <w:sz w:val="32"/>
          <w:szCs w:val="32"/>
          <w:highlight w:val="none"/>
        </w:rPr>
        <w:t>按照</w:t>
      </w:r>
      <w:r>
        <w:rPr>
          <w:rFonts w:hint="eastAsia" w:hAnsi="Times New Roman" w:eastAsia="仿宋"/>
          <w:color w:val="auto"/>
          <w:sz w:val="32"/>
          <w:szCs w:val="32"/>
          <w:highlight w:val="none"/>
          <w:lang w:eastAsia="zh-CN"/>
        </w:rPr>
        <w:t>电力交易机构</w:t>
      </w:r>
      <w:r>
        <w:rPr>
          <w:rFonts w:hint="default" w:ascii="Times New Roman" w:hAnsi="Times New Roman" w:eastAsia="仿宋"/>
          <w:color w:val="auto"/>
          <w:sz w:val="32"/>
          <w:szCs w:val="32"/>
          <w:highlight w:val="none"/>
        </w:rPr>
        <w:t>出具的结算依据，负责市场主体的电费收取</w:t>
      </w:r>
      <w:r>
        <w:rPr>
          <w:rFonts w:hint="eastAsia" w:hAnsi="Times New Roman" w:eastAsia="仿宋"/>
          <w:color w:val="auto"/>
          <w:sz w:val="32"/>
          <w:szCs w:val="32"/>
          <w:highlight w:val="none"/>
          <w:lang w:val="en-US" w:eastAsia="zh-CN"/>
        </w:rPr>
        <w:t>或</w:t>
      </w:r>
      <w:r>
        <w:rPr>
          <w:rFonts w:hint="default" w:ascii="Times New Roman" w:hAnsi="Times New Roman" w:eastAsia="仿宋"/>
          <w:color w:val="auto"/>
          <w:sz w:val="32"/>
          <w:szCs w:val="32"/>
          <w:highlight w:val="none"/>
        </w:rPr>
        <w:t>支付，开具或获取</w:t>
      </w:r>
      <w:r>
        <w:rPr>
          <w:rFonts w:hint="eastAsia" w:hAnsi="Times New Roman" w:eastAsia="仿宋"/>
          <w:color w:val="auto"/>
          <w:sz w:val="32"/>
          <w:szCs w:val="32"/>
          <w:highlight w:val="none"/>
          <w:lang w:val="en-US" w:eastAsia="zh-CN"/>
        </w:rPr>
        <w:t>电费</w:t>
      </w:r>
      <w:r>
        <w:rPr>
          <w:rFonts w:hint="default" w:ascii="Times New Roman" w:hAnsi="Times New Roman" w:eastAsia="仿宋"/>
          <w:color w:val="auto"/>
          <w:sz w:val="32"/>
          <w:szCs w:val="32"/>
          <w:highlight w:val="none"/>
        </w:rPr>
        <w:t>发票</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包括增值税专用发票</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rPr>
        <w:t>，</w:t>
      </w:r>
      <w:r>
        <w:rPr>
          <w:rFonts w:hint="default" w:ascii="Times New Roman" w:hAnsi="Times New Roman" w:eastAsia="仿宋"/>
          <w:color w:val="auto"/>
          <w:sz w:val="32"/>
          <w:szCs w:val="32"/>
          <w:highlight w:val="none"/>
        </w:rPr>
        <w:t>及时向</w:t>
      </w:r>
      <w:r>
        <w:rPr>
          <w:rFonts w:hint="eastAsia" w:hAnsi="Times New Roman" w:eastAsia="仿宋"/>
          <w:color w:val="auto"/>
          <w:sz w:val="32"/>
          <w:szCs w:val="32"/>
          <w:highlight w:val="none"/>
          <w:lang w:eastAsia="zh-CN"/>
        </w:rPr>
        <w:t>电力交易机构</w:t>
      </w:r>
      <w:r>
        <w:rPr>
          <w:rFonts w:hint="default" w:ascii="Times New Roman" w:hAnsi="Times New Roman" w:eastAsia="仿宋"/>
          <w:color w:val="auto"/>
          <w:sz w:val="32"/>
          <w:szCs w:val="32"/>
          <w:highlight w:val="none"/>
        </w:rPr>
        <w:t>反馈市场主体欠费情况</w:t>
      </w:r>
      <w:r>
        <w:rPr>
          <w:rFonts w:hint="default" w:ascii="Times New Roman" w:hAnsi="Times New Roman" w:eastAsia="仿宋"/>
          <w:color w:val="auto"/>
          <w:sz w:val="32"/>
          <w:szCs w:val="32"/>
          <w:highlight w:val="none"/>
          <w:lang w:val="zh-CN"/>
        </w:rPr>
        <w:t>。</w:t>
      </w:r>
    </w:p>
    <w:p>
      <w:pPr>
        <w:pStyle w:val="2"/>
        <w:pageBreakBefore w:val="0"/>
        <w:numPr>
          <w:ilvl w:val="0"/>
          <w:numId w:val="8"/>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仿宋" w:cs="Times New Roman"/>
          <w:color w:val="auto"/>
          <w:sz w:val="32"/>
          <w:szCs w:val="32"/>
          <w:highlight w:val="none"/>
          <w:lang w:val="zh-CN"/>
        </w:rPr>
      </w:pPr>
      <w:r>
        <w:rPr>
          <w:rFonts w:hint="default" w:ascii="Times New Roman" w:hAnsi="Times New Roman" w:eastAsia="仿宋" w:cs="Times New Roman"/>
          <w:color w:val="auto"/>
          <w:sz w:val="32"/>
          <w:szCs w:val="32"/>
          <w:highlight w:val="none"/>
        </w:rPr>
        <w:t>配合</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提供电量及档案数据，</w:t>
      </w:r>
      <w:r>
        <w:rPr>
          <w:rFonts w:hint="eastAsia"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rPr>
        <w:t>配合开展电量差错退补等相关工作</w:t>
      </w:r>
      <w:r>
        <w:rPr>
          <w:rFonts w:hint="default" w:ascii="Times New Roman" w:hAnsi="Times New Roman" w:eastAsia="仿宋" w:cs="Times New Roman"/>
          <w:color w:val="auto"/>
          <w:sz w:val="32"/>
          <w:szCs w:val="32"/>
          <w:highlight w:val="none"/>
          <w:lang w:val="zh-CN"/>
        </w:rPr>
        <w:t>。</w:t>
      </w:r>
    </w:p>
    <w:p>
      <w:pPr>
        <w:pStyle w:val="2"/>
        <w:pageBreakBefore w:val="0"/>
        <w:numPr>
          <w:ilvl w:val="0"/>
          <w:numId w:val="8"/>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仿宋" w:cs="Times New Roman"/>
          <w:color w:val="auto"/>
          <w:sz w:val="32"/>
          <w:szCs w:val="32"/>
          <w:highlight w:val="none"/>
          <w:lang w:val="zh-CN"/>
        </w:rPr>
      </w:pPr>
      <w:r>
        <w:rPr>
          <w:rFonts w:hint="default" w:ascii="Times New Roman" w:hAnsi="Times New Roman" w:eastAsia="仿宋" w:cs="Times New Roman"/>
          <w:color w:val="auto"/>
          <w:sz w:val="32"/>
          <w:szCs w:val="32"/>
          <w:highlight w:val="none"/>
        </w:rPr>
        <w:t>提供电网代理购电服务</w:t>
      </w:r>
      <w:r>
        <w:rPr>
          <w:rFonts w:hint="default" w:ascii="Times New Roman" w:hAnsi="Times New Roman" w:eastAsia="仿宋" w:cs="Times New Roman"/>
          <w:color w:val="auto"/>
          <w:sz w:val="32"/>
          <w:szCs w:val="32"/>
          <w:highlight w:val="none"/>
          <w:lang w:val="zh-CN"/>
        </w:rPr>
        <w:t>。</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按规定披露和提供信息。</w:t>
      </w:r>
    </w:p>
    <w:p>
      <w:pPr>
        <w:pStyle w:val="36"/>
        <w:pageBreakBefore w:val="0"/>
        <w:numPr>
          <w:ilvl w:val="0"/>
          <w:numId w:val="8"/>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法律法规规定的其他权利和义务。</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27" w:name="_Toc10283"/>
      <w:bookmarkStart w:id="28" w:name="_Toc10690"/>
      <w:bookmarkStart w:id="29" w:name="_Toc7653"/>
      <w:bookmarkStart w:id="30" w:name="_Toc5792"/>
      <w:bookmarkStart w:id="31" w:name="_Toc18429"/>
      <w:bookmarkStart w:id="32" w:name="_Toc4372"/>
      <w:bookmarkStart w:id="33" w:name="_Toc104490858"/>
      <w:bookmarkStart w:id="34" w:name="_Toc103787839"/>
      <w:bookmarkStart w:id="35" w:name="_Toc989"/>
      <w:bookmarkStart w:id="36" w:name="_Toc14729"/>
      <w:bookmarkStart w:id="37" w:name="_Toc11760"/>
      <w:bookmarkStart w:id="38" w:name="_Toc16225"/>
      <w:r>
        <w:rPr>
          <w:rFonts w:hint="default" w:ascii="黑体" w:hAnsi="黑体" w:eastAsia="黑体" w:cs="黑体"/>
          <w:b w:val="0"/>
          <w:bCs w:val="0"/>
          <w:color w:val="auto"/>
          <w:sz w:val="32"/>
          <w:szCs w:val="32"/>
          <w:highlight w:val="none"/>
        </w:rPr>
        <w:t>市场主体</w:t>
      </w:r>
      <w:bookmarkEnd w:id="27"/>
      <w:bookmarkEnd w:id="28"/>
      <w:bookmarkEnd w:id="29"/>
      <w:bookmarkEnd w:id="30"/>
      <w:bookmarkEnd w:id="31"/>
      <w:bookmarkEnd w:id="32"/>
      <w:bookmarkEnd w:id="33"/>
      <w:bookmarkEnd w:id="34"/>
      <w:bookmarkEnd w:id="35"/>
      <w:bookmarkEnd w:id="36"/>
      <w:bookmarkEnd w:id="37"/>
      <w:bookmarkEnd w:id="38"/>
    </w:p>
    <w:p>
      <w:pPr>
        <w:pStyle w:val="46"/>
        <w:pageBreakBefore w:val="0"/>
        <w:numPr>
          <w:ilvl w:val="0"/>
          <w:numId w:val="9"/>
        </w:numPr>
        <w:kinsoku/>
        <w:wordWrap/>
        <w:overflowPunct/>
        <w:topLinePunct w:val="0"/>
        <w:autoSpaceDE/>
        <w:autoSpaceDN/>
        <w:bidi w:val="0"/>
        <w:adjustRightInd/>
        <w:snapToGrid/>
        <w:spacing w:after="157" w:afterLines="50" w:line="560" w:lineRule="exact"/>
        <w:ind w:firstLineChars="0"/>
        <w:jc w:val="center"/>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市场化</w:t>
      </w:r>
      <w:r>
        <w:rPr>
          <w:rFonts w:hint="eastAsia" w:ascii="方正楷体简体" w:hAnsi="方正楷体简体" w:eastAsia="方正楷体简体" w:cs="方正楷体简体"/>
          <w:color w:val="auto"/>
          <w:sz w:val="32"/>
          <w:szCs w:val="32"/>
          <w:highlight w:val="none"/>
        </w:rPr>
        <w:t>用户</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注册</w:t>
      </w:r>
      <w:r>
        <w:rPr>
          <w:rFonts w:hint="default" w:ascii="Times New Roman" w:hAnsi="Times New Roman" w:eastAsia="仿宋" w:cs="Times New Roman"/>
          <w:color w:val="auto"/>
          <w:sz w:val="32"/>
          <w:szCs w:val="32"/>
          <w:highlight w:val="none"/>
        </w:rPr>
        <w:t>要求]属于工商业用电类别，且</w:t>
      </w:r>
      <w:r>
        <w:rPr>
          <w:rFonts w:hint="eastAsia" w:ascii="Times New Roman" w:hAnsi="Times New Roman" w:eastAsia="仿宋" w:cs="Times New Roman"/>
          <w:color w:val="auto"/>
          <w:sz w:val="32"/>
          <w:szCs w:val="32"/>
          <w:highlight w:val="none"/>
          <w:lang w:val="en-US" w:eastAsia="zh-CN"/>
        </w:rPr>
        <w:t>具有法人资格或具有法人条件，独立承担民事责任</w:t>
      </w:r>
      <w:r>
        <w:rPr>
          <w:rFonts w:hint="default" w:ascii="Times New Roman" w:hAnsi="Times New Roman" w:eastAsia="仿宋" w:cs="Times New Roman"/>
          <w:color w:val="auto"/>
          <w:sz w:val="32"/>
          <w:szCs w:val="32"/>
          <w:highlight w:val="none"/>
        </w:rPr>
        <w:t>的企业法人</w:t>
      </w:r>
      <w:r>
        <w:rPr>
          <w:rFonts w:hint="eastAsia"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事业单位、社会团体</w:t>
      </w:r>
      <w:r>
        <w:rPr>
          <w:rFonts w:ascii="Times New Roman" w:hAnsi="Times New Roman" w:eastAsia="仿宋" w:cs="Times New Roman"/>
          <w:color w:val="auto"/>
          <w:sz w:val="32"/>
          <w:szCs w:val="32"/>
          <w:highlight w:val="none"/>
        </w:rPr>
        <w:t>等</w:t>
      </w:r>
      <w:r>
        <w:rPr>
          <w:rFonts w:hint="eastAsia" w:ascii="Times New Roman" w:hAnsi="Times New Roman" w:eastAsia="仿宋" w:cs="Times New Roman"/>
          <w:color w:val="auto"/>
          <w:sz w:val="32"/>
          <w:szCs w:val="32"/>
          <w:highlight w:val="none"/>
        </w:rPr>
        <w:t>电力用户</w:t>
      </w:r>
      <w:r>
        <w:rPr>
          <w:rFonts w:hint="eastAsia" w:ascii="Times New Roman" w:hAnsi="Times New Roman" w:eastAsia="仿宋" w:cs="Times New Roman"/>
          <w:color w:val="auto"/>
          <w:sz w:val="32"/>
          <w:szCs w:val="32"/>
          <w:highlight w:val="none"/>
          <w:lang w:val="en-US" w:eastAsia="zh-CN"/>
        </w:rPr>
        <w:t>可注册为市场化用户</w:t>
      </w:r>
      <w:r>
        <w:rPr>
          <w:rFonts w:hint="eastAsia" w:ascii="Times New Roman" w:hAnsi="Times New Roman" w:eastAsia="仿宋" w:cs="Times New Roman"/>
          <w:color w:val="auto"/>
          <w:sz w:val="32"/>
          <w:szCs w:val="32"/>
          <w:highlight w:val="none"/>
          <w:lang w:eastAsia="zh-CN"/>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交易资格</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电力</w:t>
      </w:r>
      <w:r>
        <w:rPr>
          <w:rFonts w:hint="default" w:ascii="Times New Roman" w:hAnsi="Times New Roman" w:eastAsia="仿宋" w:cs="Times New Roman"/>
          <w:color w:val="auto"/>
          <w:sz w:val="32"/>
          <w:szCs w:val="32"/>
          <w:highlight w:val="none"/>
        </w:rPr>
        <w:t>用户进入市场采用注册制，</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负责对注册资料完整性进行审查，</w:t>
      </w:r>
      <w:r>
        <w:rPr>
          <w:rFonts w:hint="eastAsia" w:ascii="Times New Roman" w:hAnsi="Times New Roman" w:eastAsia="仿宋" w:cs="Times New Roman"/>
          <w:color w:val="auto"/>
          <w:sz w:val="32"/>
          <w:szCs w:val="32"/>
          <w:highlight w:val="none"/>
          <w:lang w:val="en-US" w:eastAsia="zh-CN"/>
        </w:rPr>
        <w:t>电力</w:t>
      </w:r>
      <w:r>
        <w:rPr>
          <w:rFonts w:hint="default" w:ascii="Times New Roman" w:hAnsi="Times New Roman" w:eastAsia="仿宋" w:cs="Times New Roman"/>
          <w:color w:val="auto"/>
          <w:sz w:val="32"/>
          <w:szCs w:val="32"/>
          <w:highlight w:val="none"/>
        </w:rPr>
        <w:t>用户向</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办理市场注册后取得交易资格。</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用户分类</w:t>
      </w:r>
      <w:r>
        <w:rPr>
          <w:rFonts w:hint="default" w:ascii="Times New Roman" w:hAnsi="Times New Roman" w:eastAsia="仿宋" w:cs="Times New Roman"/>
          <w:color w:val="auto"/>
          <w:sz w:val="32"/>
          <w:szCs w:val="32"/>
          <w:highlight w:val="none"/>
        </w:rPr>
        <w:t>]按照年用电量和电压等级，</w:t>
      </w:r>
      <w:r>
        <w:rPr>
          <w:rFonts w:hint="eastAsia" w:ascii="Times New Roman" w:hAnsi="Times New Roman" w:eastAsia="仿宋" w:cs="Times New Roman"/>
          <w:color w:val="auto"/>
          <w:sz w:val="32"/>
          <w:szCs w:val="32"/>
          <w:highlight w:val="none"/>
          <w:lang w:val="en-US" w:eastAsia="zh-CN"/>
        </w:rPr>
        <w:t>全</w:t>
      </w:r>
      <w:r>
        <w:rPr>
          <w:rFonts w:hint="default" w:ascii="Times New Roman" w:hAnsi="Times New Roman" w:eastAsia="仿宋" w:cs="Times New Roman"/>
          <w:color w:val="auto"/>
          <w:sz w:val="32"/>
          <w:szCs w:val="32"/>
          <w:highlight w:val="none"/>
          <w:lang w:val="en-US" w:eastAsia="zh-CN"/>
        </w:rPr>
        <w:t>市场</w:t>
      </w:r>
      <w:r>
        <w:rPr>
          <w:rFonts w:hint="eastAsia" w:ascii="Times New Roman" w:hAnsi="Times New Roman" w:eastAsia="仿宋" w:cs="Times New Roman"/>
          <w:color w:val="auto"/>
          <w:sz w:val="32"/>
          <w:szCs w:val="32"/>
          <w:highlight w:val="none"/>
          <w:lang w:val="en-US" w:eastAsia="zh-CN"/>
        </w:rPr>
        <w:t>电力</w:t>
      </w:r>
      <w:r>
        <w:rPr>
          <w:rFonts w:hint="default" w:ascii="Times New Roman" w:hAnsi="Times New Roman" w:eastAsia="仿宋" w:cs="Times New Roman"/>
          <w:color w:val="auto"/>
          <w:sz w:val="32"/>
          <w:szCs w:val="32"/>
          <w:highlight w:val="none"/>
        </w:rPr>
        <w:t>用户</w:t>
      </w:r>
      <w:r>
        <w:rPr>
          <w:rFonts w:hint="eastAsia" w:ascii="Times New Roman" w:hAnsi="Times New Roman" w:eastAsia="仿宋" w:cs="Times New Roman"/>
          <w:color w:val="auto"/>
          <w:sz w:val="32"/>
          <w:szCs w:val="32"/>
          <w:highlight w:val="none"/>
          <w:lang w:val="en-US" w:eastAsia="zh-CN"/>
        </w:rPr>
        <w:t>可分为</w:t>
      </w:r>
      <w:r>
        <w:rPr>
          <w:rFonts w:hint="default" w:ascii="Times New Roman" w:hAnsi="Times New Roman" w:eastAsia="仿宋" w:cs="Times New Roman"/>
          <w:color w:val="auto"/>
          <w:sz w:val="32"/>
          <w:szCs w:val="32"/>
          <w:highlight w:val="none"/>
        </w:rPr>
        <w:t>大型、中型、小型三</w:t>
      </w:r>
      <w:r>
        <w:rPr>
          <w:rFonts w:hint="eastAsia" w:ascii="Times New Roman" w:hAnsi="Times New Roman" w:eastAsia="仿宋" w:cs="Times New Roman"/>
          <w:color w:val="auto"/>
          <w:sz w:val="32"/>
          <w:szCs w:val="32"/>
          <w:highlight w:val="none"/>
          <w:lang w:val="en-US" w:eastAsia="zh-CN"/>
        </w:rPr>
        <w:t>类，目前广东电力市场用户准入只有</w:t>
      </w:r>
      <w:r>
        <w:rPr>
          <w:rFonts w:hint="default" w:ascii="Times New Roman" w:hAnsi="Times New Roman" w:eastAsia="仿宋" w:cs="Times New Roman"/>
          <w:color w:val="auto"/>
          <w:sz w:val="32"/>
          <w:szCs w:val="32"/>
          <w:highlight w:val="none"/>
        </w:rPr>
        <w:t>大型</w:t>
      </w:r>
      <w:r>
        <w:rPr>
          <w:rFonts w:hint="eastAsia" w:ascii="Times New Roman" w:hAnsi="Times New Roman" w:eastAsia="仿宋" w:cs="Times New Roman"/>
          <w:color w:val="auto"/>
          <w:sz w:val="32"/>
          <w:szCs w:val="32"/>
          <w:highlight w:val="none"/>
          <w:lang w:val="en-US" w:eastAsia="zh-CN"/>
        </w:rPr>
        <w:t>和</w:t>
      </w:r>
      <w:r>
        <w:rPr>
          <w:rFonts w:hint="default" w:ascii="Times New Roman" w:hAnsi="Times New Roman" w:eastAsia="仿宋" w:cs="Times New Roman"/>
          <w:color w:val="auto"/>
          <w:sz w:val="32"/>
          <w:szCs w:val="32"/>
          <w:highlight w:val="none"/>
        </w:rPr>
        <w:t>中型</w:t>
      </w:r>
      <w:r>
        <w:rPr>
          <w:rFonts w:hint="eastAsia" w:ascii="Times New Roman" w:hAnsi="Times New Roman" w:eastAsia="仿宋" w:cs="Times New Roman"/>
          <w:color w:val="auto"/>
          <w:sz w:val="32"/>
          <w:szCs w:val="32"/>
          <w:highlight w:val="none"/>
          <w:lang w:val="en-US" w:eastAsia="zh-CN"/>
        </w:rPr>
        <w:t>两类。</w:t>
      </w:r>
    </w:p>
    <w:p>
      <w:pPr>
        <w:pStyle w:val="36"/>
        <w:pageBreakBefore w:val="0"/>
        <w:numPr>
          <w:ilvl w:val="0"/>
          <w:numId w:val="10"/>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s="Times New Roman"/>
          <w:color w:val="auto"/>
          <w:sz w:val="32"/>
          <w:szCs w:val="32"/>
          <w:highlight w:val="none"/>
        </w:rPr>
        <w:t>大型用户</w:t>
      </w:r>
      <w:r>
        <w:rPr>
          <w:rFonts w:hint="default" w:ascii="Times New Roman" w:hAnsi="Times New Roman" w:eastAsia="仿宋" w:cs="Times New Roman"/>
          <w:color w:val="auto"/>
          <w:sz w:val="32"/>
          <w:szCs w:val="32"/>
          <w:highlight w:val="none"/>
          <w:lang w:eastAsia="zh-CN"/>
        </w:rPr>
        <w:t>。</w:t>
      </w:r>
      <w:r>
        <w:rPr>
          <w:rFonts w:hint="eastAsia" w:hAnsi="Times New Roman" w:eastAsia="仿宋" w:cs="Times New Roman"/>
          <w:color w:val="auto"/>
          <w:sz w:val="32"/>
          <w:szCs w:val="32"/>
          <w:highlight w:val="none"/>
          <w:lang w:val="en-US" w:eastAsia="zh-CN"/>
        </w:rPr>
        <w:t>指</w:t>
      </w:r>
      <w:r>
        <w:rPr>
          <w:rFonts w:hint="default" w:ascii="Times New Roman" w:hAnsi="Times New Roman" w:eastAsia="仿宋" w:cs="Times New Roman"/>
          <w:color w:val="auto"/>
          <w:sz w:val="32"/>
          <w:szCs w:val="32"/>
          <w:highlight w:val="none"/>
        </w:rPr>
        <w:t>年用电量</w:t>
      </w:r>
      <w:r>
        <w:rPr>
          <w:rFonts w:hint="eastAsia" w:hAnsi="Times New Roman" w:eastAsia="仿宋" w:cs="Times New Roman"/>
          <w:color w:val="auto"/>
          <w:sz w:val="32"/>
          <w:szCs w:val="32"/>
          <w:highlight w:val="none"/>
          <w:lang w:val="en-US" w:eastAsia="zh-CN"/>
        </w:rPr>
        <w:t>在一定规模</w:t>
      </w:r>
      <w:r>
        <w:rPr>
          <w:rFonts w:ascii="Times New Roman" w:hAnsi="Times New Roman" w:eastAsia="仿宋" w:cs="Times New Roman"/>
          <w:color w:val="auto"/>
          <w:sz w:val="32"/>
          <w:szCs w:val="32"/>
          <w:highlight w:val="none"/>
        </w:rPr>
        <w:t>及以上、电压等级10千伏及以上的工商业用户，</w:t>
      </w:r>
      <w:r>
        <w:rPr>
          <w:rFonts w:hint="default" w:ascii="Times New Roman" w:hAnsi="Times New Roman" w:eastAsia="仿宋" w:cs="Times New Roman"/>
          <w:color w:val="auto"/>
          <w:sz w:val="32"/>
          <w:szCs w:val="32"/>
          <w:highlight w:val="none"/>
        </w:rPr>
        <w:t>可</w:t>
      </w:r>
      <w:r>
        <w:rPr>
          <w:rFonts w:hint="eastAsia" w:hAnsi="Times New Roman" w:eastAsia="仿宋" w:cs="Times New Roman"/>
          <w:color w:val="auto"/>
          <w:sz w:val="32"/>
          <w:szCs w:val="32"/>
          <w:highlight w:val="none"/>
          <w:lang w:val="en-US" w:eastAsia="zh-CN"/>
        </w:rPr>
        <w:t>自主</w:t>
      </w:r>
      <w:r>
        <w:rPr>
          <w:rFonts w:hint="default" w:ascii="Times New Roman" w:hAnsi="Times New Roman" w:eastAsia="仿宋" w:cs="Times New Roman"/>
          <w:color w:val="auto"/>
          <w:sz w:val="32"/>
          <w:szCs w:val="32"/>
          <w:highlight w:val="none"/>
        </w:rPr>
        <w:t>选择参与批发市场从发电企业购电，或参与零售市场从售电公司购电</w:t>
      </w:r>
      <w:r>
        <w:rPr>
          <w:rFonts w:hint="eastAsia" w:hAnsi="Times New Roman" w:eastAsia="仿宋" w:cs="Times New Roman"/>
          <w:color w:val="auto"/>
          <w:sz w:val="32"/>
          <w:szCs w:val="32"/>
          <w:highlight w:val="none"/>
          <w:lang w:eastAsia="zh-CN"/>
        </w:rPr>
        <w:t>。</w:t>
      </w:r>
    </w:p>
    <w:p>
      <w:pPr>
        <w:pStyle w:val="36"/>
        <w:pageBreakBefore w:val="0"/>
        <w:numPr>
          <w:ilvl w:val="0"/>
          <w:numId w:val="10"/>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中型用户</w:t>
      </w:r>
      <w:r>
        <w:rPr>
          <w:rFonts w:hint="default" w:ascii="Times New Roman" w:hAnsi="Times New Roman" w:eastAsia="仿宋"/>
          <w:color w:val="auto"/>
          <w:sz w:val="32"/>
          <w:szCs w:val="32"/>
          <w:highlight w:val="none"/>
          <w:lang w:eastAsia="zh-CN"/>
        </w:rPr>
        <w:t>。</w:t>
      </w:r>
      <w:r>
        <w:rPr>
          <w:rFonts w:hint="eastAsia" w:hAnsi="Times New Roman" w:eastAsia="仿宋" w:cs="Times New Roman"/>
          <w:color w:val="auto"/>
          <w:sz w:val="32"/>
          <w:szCs w:val="32"/>
          <w:highlight w:val="none"/>
          <w:lang w:val="en-US" w:eastAsia="zh-CN"/>
        </w:rPr>
        <w:t>指</w:t>
      </w:r>
      <w:r>
        <w:rPr>
          <w:rFonts w:hint="default" w:ascii="Times New Roman" w:hAnsi="Times New Roman" w:eastAsia="仿宋"/>
          <w:color w:val="auto"/>
          <w:sz w:val="32"/>
          <w:szCs w:val="32"/>
          <w:highlight w:val="none"/>
        </w:rPr>
        <w:t>年用电量</w:t>
      </w:r>
      <w:r>
        <w:rPr>
          <w:rFonts w:hint="eastAsia" w:hAnsi="Times New Roman" w:eastAsia="仿宋" w:cs="Times New Roman"/>
          <w:color w:val="auto"/>
          <w:sz w:val="32"/>
          <w:szCs w:val="32"/>
          <w:highlight w:val="none"/>
          <w:lang w:val="en-US" w:eastAsia="zh-CN"/>
        </w:rPr>
        <w:t>在一定规模</w:t>
      </w:r>
      <w:r>
        <w:rPr>
          <w:rFonts w:ascii="Times New Roman" w:hAnsi="Times New Roman" w:eastAsia="仿宋"/>
          <w:color w:val="auto"/>
          <w:sz w:val="32"/>
          <w:szCs w:val="32"/>
          <w:highlight w:val="none"/>
        </w:rPr>
        <w:t>以下、电压等级10千伏及以上的工商业用户</w:t>
      </w:r>
      <w:r>
        <w:rPr>
          <w:rFonts w:hint="default" w:ascii="Times New Roman"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可</w:t>
      </w:r>
      <w:r>
        <w:rPr>
          <w:rFonts w:hint="default" w:ascii="Times New Roman" w:hAnsi="Times New Roman" w:eastAsia="仿宋"/>
          <w:color w:val="auto"/>
          <w:sz w:val="32"/>
          <w:szCs w:val="32"/>
          <w:highlight w:val="none"/>
        </w:rPr>
        <w:t>参与零售市场从售电公司购电。</w:t>
      </w:r>
    </w:p>
    <w:p>
      <w:pPr>
        <w:pStyle w:val="36"/>
        <w:pageBreakBefore w:val="0"/>
        <w:numPr>
          <w:ilvl w:val="0"/>
          <w:numId w:val="10"/>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小型用户</w:t>
      </w:r>
      <w:r>
        <w:rPr>
          <w:rFonts w:hint="default" w:ascii="Times New Roman" w:hAnsi="Times New Roman" w:eastAsia="仿宋"/>
          <w:color w:val="auto"/>
          <w:sz w:val="32"/>
          <w:szCs w:val="32"/>
          <w:highlight w:val="none"/>
          <w:lang w:eastAsia="zh-CN"/>
        </w:rPr>
        <w:t>。</w:t>
      </w:r>
      <w:r>
        <w:rPr>
          <w:rFonts w:hint="eastAsia" w:hAnsi="Times New Roman" w:eastAsia="仿宋" w:cs="Times New Roman"/>
          <w:color w:val="auto"/>
          <w:sz w:val="32"/>
          <w:szCs w:val="32"/>
          <w:highlight w:val="none"/>
          <w:lang w:val="en-US" w:eastAsia="zh-CN"/>
        </w:rPr>
        <w:t>指</w:t>
      </w:r>
      <w:r>
        <w:rPr>
          <w:rFonts w:hint="default" w:ascii="Times New Roman" w:hAnsi="Times New Roman" w:eastAsia="仿宋"/>
          <w:color w:val="auto"/>
          <w:sz w:val="32"/>
          <w:szCs w:val="32"/>
          <w:highlight w:val="none"/>
        </w:rPr>
        <w:t>电压等级</w:t>
      </w:r>
      <w:r>
        <w:rPr>
          <w:rFonts w:ascii="Times New Roman" w:hAnsi="Times New Roman" w:eastAsia="仿宋"/>
          <w:color w:val="auto"/>
          <w:sz w:val="32"/>
          <w:szCs w:val="32"/>
          <w:highlight w:val="none"/>
        </w:rPr>
        <w:t>10千伏以下的工商业用户</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若电力用户</w:t>
      </w:r>
      <w:r>
        <w:rPr>
          <w:rFonts w:hint="eastAsia" w:hAnsi="Times New Roman" w:eastAsia="仿宋"/>
          <w:color w:val="auto"/>
          <w:sz w:val="32"/>
          <w:szCs w:val="32"/>
          <w:highlight w:val="none"/>
        </w:rPr>
        <w:t>同时有10kV以上</w:t>
      </w:r>
      <w:r>
        <w:rPr>
          <w:rFonts w:hint="eastAsia" w:hAnsi="Times New Roman" w:eastAsia="仿宋"/>
          <w:color w:val="auto"/>
          <w:sz w:val="32"/>
          <w:szCs w:val="32"/>
          <w:highlight w:val="none"/>
          <w:lang w:val="en-US" w:eastAsia="zh-CN"/>
        </w:rPr>
        <w:t>及</w:t>
      </w:r>
      <w:r>
        <w:rPr>
          <w:rFonts w:hint="eastAsia" w:hAnsi="Times New Roman" w:eastAsia="仿宋"/>
          <w:color w:val="auto"/>
          <w:sz w:val="32"/>
          <w:szCs w:val="32"/>
          <w:highlight w:val="none"/>
        </w:rPr>
        <w:t>以下的</w:t>
      </w:r>
      <w:r>
        <w:rPr>
          <w:rFonts w:hint="eastAsia" w:hAnsi="Times New Roman" w:eastAsia="仿宋"/>
          <w:color w:val="auto"/>
          <w:sz w:val="32"/>
          <w:szCs w:val="32"/>
          <w:highlight w:val="none"/>
          <w:lang w:val="en-US" w:eastAsia="zh-CN"/>
        </w:rPr>
        <w:t>工商业</w:t>
      </w:r>
      <w:r>
        <w:rPr>
          <w:rFonts w:hint="eastAsia" w:hAnsi="Times New Roman" w:eastAsia="仿宋"/>
          <w:color w:val="auto"/>
          <w:sz w:val="32"/>
          <w:szCs w:val="32"/>
          <w:highlight w:val="none"/>
        </w:rPr>
        <w:t>用电户号，</w:t>
      </w:r>
      <w:r>
        <w:rPr>
          <w:rFonts w:hint="eastAsia" w:hAnsi="Times New Roman" w:eastAsia="仿宋"/>
          <w:color w:val="auto"/>
          <w:sz w:val="32"/>
          <w:szCs w:val="32"/>
          <w:highlight w:val="none"/>
          <w:lang w:val="en-US" w:eastAsia="zh-CN"/>
        </w:rPr>
        <w:t>归类为大、中型用户。</w:t>
      </w:r>
      <w:r>
        <w:rPr>
          <w:rFonts w:hint="eastAsia" w:hAnsi="Times New Roman" w:eastAsia="仿宋"/>
          <w:color w:val="auto"/>
          <w:sz w:val="32"/>
          <w:szCs w:val="32"/>
          <w:highlight w:val="none"/>
        </w:rPr>
        <w:t>鼓励</w:t>
      </w:r>
      <w:r>
        <w:rPr>
          <w:rFonts w:hint="eastAsia" w:hAnsi="Times New Roman" w:eastAsia="仿宋"/>
          <w:color w:val="auto"/>
          <w:sz w:val="32"/>
          <w:szCs w:val="32"/>
          <w:highlight w:val="none"/>
          <w:lang w:val="en-US" w:eastAsia="zh-CN"/>
        </w:rPr>
        <w:t>小型</w:t>
      </w:r>
      <w:r>
        <w:rPr>
          <w:rFonts w:hint="eastAsia" w:hAnsi="Times New Roman" w:eastAsia="仿宋"/>
          <w:color w:val="auto"/>
          <w:sz w:val="32"/>
          <w:szCs w:val="32"/>
          <w:highlight w:val="none"/>
        </w:rPr>
        <w:t>用户在具备条件的情况下直接参与市场交易，未直接参与市场交易的由电网企业代理购电。</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分类变化</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大型、中型、小型用户在一定条件下可以相互转化。电力交易机构根据用户的历史电量、电压等级等情况</w:t>
      </w:r>
      <w:r>
        <w:rPr>
          <w:rFonts w:hint="default" w:ascii="Times New Roman" w:hAnsi="Times New Roman" w:eastAsia="仿宋" w:cs="Times New Roman"/>
          <w:color w:val="auto"/>
          <w:sz w:val="32"/>
          <w:szCs w:val="32"/>
          <w:highlight w:val="none"/>
        </w:rPr>
        <w:t>按自然年</w:t>
      </w:r>
      <w:r>
        <w:rPr>
          <w:rFonts w:hint="eastAsia" w:ascii="Times New Roman" w:hAnsi="Times New Roman" w:eastAsia="仿宋" w:cs="Times New Roman"/>
          <w:color w:val="auto"/>
          <w:sz w:val="32"/>
          <w:szCs w:val="32"/>
          <w:highlight w:val="none"/>
          <w:lang w:val="en-US" w:eastAsia="zh-CN"/>
        </w:rPr>
        <w:t>核验评估用户类型。</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交易权限</w:t>
      </w:r>
      <w:r>
        <w:rPr>
          <w:rFonts w:hint="default" w:ascii="Times New Roman" w:hAnsi="Times New Roman" w:eastAsia="仿宋" w:cs="Times New Roman"/>
          <w:color w:val="auto"/>
          <w:sz w:val="32"/>
          <w:szCs w:val="32"/>
          <w:highlight w:val="none"/>
        </w:rPr>
        <w:t>]大型用户完成</w:t>
      </w:r>
      <w:r>
        <w:rPr>
          <w:rFonts w:hint="eastAsia" w:ascii="Times New Roman" w:hAnsi="Times New Roman" w:eastAsia="仿宋" w:cs="Times New Roman"/>
          <w:color w:val="auto"/>
          <w:sz w:val="32"/>
          <w:szCs w:val="32"/>
          <w:highlight w:val="none"/>
          <w:lang w:val="en-US" w:eastAsia="zh-CN"/>
        </w:rPr>
        <w:t>市场</w:t>
      </w:r>
      <w:r>
        <w:rPr>
          <w:rFonts w:hint="default" w:ascii="Times New Roman" w:hAnsi="Times New Roman" w:eastAsia="仿宋" w:cs="Times New Roman"/>
          <w:color w:val="auto"/>
          <w:sz w:val="32"/>
          <w:szCs w:val="32"/>
          <w:highlight w:val="none"/>
        </w:rPr>
        <w:t>注册</w:t>
      </w:r>
      <w:r>
        <w:rPr>
          <w:rFonts w:hint="eastAsia" w:ascii="Times New Roman" w:hAnsi="Times New Roman" w:eastAsia="仿宋" w:cs="Times New Roman"/>
          <w:color w:val="auto"/>
          <w:sz w:val="32"/>
          <w:szCs w:val="32"/>
          <w:highlight w:val="none"/>
          <w:lang w:val="en-US" w:eastAsia="zh-CN"/>
        </w:rPr>
        <w:t>后</w:t>
      </w:r>
      <w:r>
        <w:rPr>
          <w:rFonts w:hint="default" w:ascii="Times New Roman" w:hAnsi="Times New Roman" w:eastAsia="仿宋" w:cs="Times New Roman"/>
          <w:color w:val="auto"/>
          <w:sz w:val="32"/>
          <w:szCs w:val="32"/>
          <w:highlight w:val="none"/>
        </w:rPr>
        <w:t>默认</w:t>
      </w:r>
      <w:r>
        <w:rPr>
          <w:rFonts w:hint="eastAsia" w:ascii="Times New Roman" w:hAnsi="Times New Roman" w:eastAsia="仿宋" w:cs="Times New Roman"/>
          <w:color w:val="auto"/>
          <w:sz w:val="32"/>
          <w:szCs w:val="32"/>
          <w:highlight w:val="none"/>
          <w:lang w:val="en-US" w:eastAsia="zh-CN"/>
        </w:rPr>
        <w:t>具有零售交易权限，参与零售市场交易；若要</w:t>
      </w:r>
      <w:r>
        <w:rPr>
          <w:rFonts w:hint="default" w:ascii="Times New Roman" w:hAnsi="Times New Roman" w:eastAsia="仿宋" w:cs="Times New Roman"/>
          <w:color w:val="auto"/>
          <w:sz w:val="32"/>
          <w:szCs w:val="32"/>
          <w:highlight w:val="none"/>
        </w:rPr>
        <w:t>参与批发市场</w:t>
      </w:r>
      <w:r>
        <w:rPr>
          <w:rFonts w:hint="eastAsia" w:ascii="Times New Roman" w:hAnsi="Times New Roman" w:eastAsia="仿宋" w:cs="Times New Roman"/>
          <w:color w:val="auto"/>
          <w:sz w:val="32"/>
          <w:szCs w:val="32"/>
          <w:highlight w:val="none"/>
          <w:lang w:val="en-US" w:eastAsia="zh-CN"/>
        </w:rPr>
        <w:t>交易</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则须</w:t>
      </w:r>
      <w:r>
        <w:rPr>
          <w:rFonts w:hint="default" w:ascii="Times New Roman" w:hAnsi="Times New Roman" w:eastAsia="仿宋" w:cs="Times New Roman"/>
          <w:color w:val="auto"/>
          <w:sz w:val="32"/>
          <w:szCs w:val="32"/>
          <w:highlight w:val="none"/>
        </w:rPr>
        <w:t>向</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申请批发</w:t>
      </w:r>
      <w:r>
        <w:rPr>
          <w:rFonts w:hint="eastAsia" w:ascii="Times New Roman" w:hAnsi="Times New Roman" w:eastAsia="仿宋" w:cs="Times New Roman"/>
          <w:color w:val="auto"/>
          <w:sz w:val="32"/>
          <w:szCs w:val="32"/>
          <w:highlight w:val="none"/>
          <w:lang w:val="en-US" w:eastAsia="zh-CN"/>
        </w:rPr>
        <w:t>交易</w:t>
      </w:r>
      <w:r>
        <w:rPr>
          <w:rFonts w:hint="default" w:ascii="Times New Roman" w:hAnsi="Times New Roman" w:eastAsia="仿宋" w:cs="Times New Roman"/>
          <w:color w:val="auto"/>
          <w:sz w:val="32"/>
          <w:szCs w:val="32"/>
          <w:highlight w:val="none"/>
        </w:rPr>
        <w:t>权限</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大型用户批发、零售交易权限变更应以月度为周期</w:t>
      </w:r>
      <w:r>
        <w:rPr>
          <w:rFonts w:hint="eastAsia" w:hAnsi="Times New Roman" w:eastAsia="仿宋" w:cs="Times New Roman"/>
          <w:color w:val="auto"/>
          <w:sz w:val="32"/>
          <w:szCs w:val="32"/>
          <w:highlight w:val="none"/>
          <w:lang w:eastAsia="zh-CN"/>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用户入市</w:t>
      </w:r>
      <w:r>
        <w:rPr>
          <w:rFonts w:hint="default" w:ascii="Times New Roman" w:hAnsi="Times New Roman" w:eastAsia="仿宋" w:cs="Times New Roman"/>
          <w:color w:val="auto"/>
          <w:sz w:val="32"/>
          <w:szCs w:val="32"/>
          <w:highlight w:val="none"/>
        </w:rPr>
        <w:t>]原由电网</w:t>
      </w:r>
      <w:r>
        <w:rPr>
          <w:rFonts w:hint="eastAsia" w:ascii="Times New Roman" w:hAnsi="Times New Roman" w:eastAsia="仿宋" w:cs="Times New Roman"/>
          <w:color w:val="auto"/>
          <w:sz w:val="32"/>
          <w:szCs w:val="32"/>
          <w:highlight w:val="none"/>
          <w:lang w:val="en-US" w:eastAsia="zh-CN"/>
        </w:rPr>
        <w:t>企业代理购电</w:t>
      </w:r>
      <w:r>
        <w:rPr>
          <w:rFonts w:hint="default" w:ascii="Times New Roman" w:hAnsi="Times New Roman" w:eastAsia="仿宋" w:cs="Times New Roman"/>
          <w:color w:val="auto"/>
          <w:sz w:val="32"/>
          <w:szCs w:val="32"/>
          <w:highlight w:val="none"/>
        </w:rPr>
        <w:t>的工商业用户在每季度最后</w:t>
      </w:r>
      <w:r>
        <w:rPr>
          <w:rFonts w:ascii="Times New Roman" w:hAnsi="Times New Roman" w:eastAsia="仿宋" w:cs="Times New Roman"/>
          <w:color w:val="auto"/>
          <w:sz w:val="32"/>
          <w:szCs w:val="32"/>
          <w:highlight w:val="none"/>
        </w:rPr>
        <w:t>15日前完成</w:t>
      </w:r>
      <w:r>
        <w:rPr>
          <w:rFonts w:hint="default" w:ascii="Times New Roman" w:hAnsi="Times New Roman" w:eastAsia="仿宋" w:cs="Times New Roman"/>
          <w:color w:val="auto"/>
          <w:sz w:val="32"/>
          <w:szCs w:val="32"/>
          <w:highlight w:val="none"/>
          <w:lang w:val="en-US"/>
        </w:rPr>
        <w:t>零售平台</w:t>
      </w:r>
      <w:r>
        <w:rPr>
          <w:rFonts w:hint="default" w:ascii="Times New Roman" w:hAnsi="Times New Roman" w:eastAsia="仿宋" w:cs="Times New Roman"/>
          <w:color w:val="auto"/>
          <w:sz w:val="32"/>
          <w:szCs w:val="32"/>
          <w:highlight w:val="none"/>
        </w:rPr>
        <w:t>注册并</w:t>
      </w:r>
      <w:r>
        <w:rPr>
          <w:rFonts w:hint="eastAsia" w:ascii="Times New Roman" w:hAnsi="Times New Roman" w:eastAsia="仿宋" w:cs="Times New Roman"/>
          <w:color w:val="auto"/>
          <w:sz w:val="32"/>
          <w:szCs w:val="32"/>
          <w:highlight w:val="none"/>
          <w:lang w:val="en-US" w:eastAsia="zh-CN"/>
        </w:rPr>
        <w:t>与售电公司</w:t>
      </w:r>
      <w:r>
        <w:rPr>
          <w:rFonts w:hint="default" w:ascii="Times New Roman" w:hAnsi="Times New Roman" w:eastAsia="仿宋" w:cs="Times New Roman"/>
          <w:color w:val="auto"/>
          <w:sz w:val="32"/>
          <w:szCs w:val="32"/>
          <w:highlight w:val="none"/>
        </w:rPr>
        <w:t>签订线上零售合同</w:t>
      </w:r>
      <w:r>
        <w:rPr>
          <w:rFonts w:hint="eastAsia" w:ascii="Times New Roman" w:hAnsi="Times New Roman" w:eastAsia="仿宋" w:cs="Times New Roman"/>
          <w:color w:val="auto"/>
          <w:sz w:val="32"/>
          <w:szCs w:val="32"/>
          <w:highlight w:val="none"/>
          <w:lang w:val="en-US" w:eastAsia="zh-CN"/>
        </w:rPr>
        <w:t>后</w:t>
      </w:r>
      <w:r>
        <w:rPr>
          <w:rFonts w:hint="default" w:ascii="Times New Roman" w:hAnsi="Times New Roman" w:eastAsia="仿宋" w:cs="Times New Roman"/>
          <w:color w:val="auto"/>
          <w:sz w:val="32"/>
          <w:szCs w:val="32"/>
          <w:highlight w:val="none"/>
        </w:rPr>
        <w:t>，下季度起可直接参与市场交易。</w:t>
      </w:r>
      <w:r>
        <w:rPr>
          <w:rFonts w:hint="eastAsia" w:ascii="Times New Roman" w:hAnsi="Times New Roman" w:eastAsia="仿宋" w:cs="Times New Roman"/>
          <w:color w:val="auto"/>
          <w:sz w:val="32"/>
          <w:szCs w:val="32"/>
          <w:highlight w:val="none"/>
          <w:lang w:val="en-US" w:eastAsia="zh-CN"/>
        </w:rPr>
        <w:t>未在每季度最后15日前完成零售平台注册并与售电公司签订线上零售合同的，继续由电网企业代理购电。</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市场用户转由电网代购</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已直接参与市场交易又退出的用户，暂由电网企业代理购电。</w:t>
      </w:r>
      <w:r>
        <w:rPr>
          <w:rFonts w:hint="default" w:ascii="Times New Roman" w:hAnsi="Times New Roman" w:eastAsia="仿宋" w:cs="Times New Roman"/>
          <w:color w:val="auto"/>
          <w:sz w:val="32"/>
          <w:szCs w:val="32"/>
          <w:highlight w:val="none"/>
        </w:rPr>
        <w:t>对于零售合同到期或者解约的大型用户，若在次月用电需求申报截止前未建立新的</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关系也未申请成为批发大用户，则从次月开始转为电网代理购电；对于零售合同到期或者解约的中小型用户，若次月用电需求申报截止前未建立新的</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关系，则从次月开始转为电网</w:t>
      </w:r>
      <w:r>
        <w:rPr>
          <w:rFonts w:hint="eastAsia" w:ascii="Times New Roman" w:hAnsi="Times New Roman" w:eastAsia="仿宋" w:cs="Times New Roman"/>
          <w:color w:val="auto"/>
          <w:sz w:val="32"/>
          <w:szCs w:val="32"/>
          <w:highlight w:val="none"/>
          <w:lang w:val="en-US" w:eastAsia="zh-CN"/>
        </w:rPr>
        <w:t>企业</w:t>
      </w:r>
      <w:r>
        <w:rPr>
          <w:rFonts w:hint="default" w:ascii="Times New Roman" w:hAnsi="Times New Roman" w:eastAsia="仿宋" w:cs="Times New Roman"/>
          <w:color w:val="auto"/>
          <w:sz w:val="32"/>
          <w:szCs w:val="32"/>
          <w:highlight w:val="none"/>
        </w:rPr>
        <w:t>代理购电。</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市场用户转</w:t>
      </w:r>
      <w:r>
        <w:rPr>
          <w:rFonts w:hint="eastAsia" w:ascii="Times New Roman" w:hAnsi="Times New Roman" w:eastAsia="仿宋" w:cs="Times New Roman"/>
          <w:color w:val="auto"/>
          <w:sz w:val="32"/>
          <w:szCs w:val="32"/>
          <w:highlight w:val="none"/>
          <w:lang w:val="en-US" w:eastAsia="zh-CN"/>
        </w:rPr>
        <w:t>为</w:t>
      </w:r>
      <w:r>
        <w:rPr>
          <w:rFonts w:hint="default" w:ascii="Times New Roman" w:hAnsi="Times New Roman" w:eastAsia="仿宋" w:cs="Times New Roman"/>
          <w:color w:val="auto"/>
          <w:sz w:val="32"/>
          <w:szCs w:val="32"/>
          <w:highlight w:val="none"/>
        </w:rPr>
        <w:t>电网</w:t>
      </w:r>
      <w:r>
        <w:rPr>
          <w:rFonts w:hint="eastAsia" w:ascii="Times New Roman" w:hAnsi="Times New Roman" w:eastAsia="仿宋" w:cs="Times New Roman"/>
          <w:color w:val="auto"/>
          <w:sz w:val="32"/>
          <w:szCs w:val="32"/>
          <w:highlight w:val="none"/>
          <w:lang w:val="en-US" w:eastAsia="zh-CN"/>
        </w:rPr>
        <w:t>企业</w:t>
      </w:r>
      <w:r>
        <w:rPr>
          <w:rFonts w:hint="default" w:ascii="Times New Roman" w:hAnsi="Times New Roman" w:eastAsia="仿宋" w:cs="Times New Roman"/>
          <w:color w:val="auto"/>
          <w:sz w:val="32"/>
          <w:szCs w:val="32"/>
          <w:highlight w:val="none"/>
        </w:rPr>
        <w:t>代理购电的用户，</w:t>
      </w:r>
      <w:r>
        <w:rPr>
          <w:rFonts w:hint="eastAsia" w:ascii="Times New Roman" w:hAnsi="Times New Roman" w:eastAsia="仿宋" w:cs="Times New Roman"/>
          <w:color w:val="auto"/>
          <w:sz w:val="32"/>
          <w:szCs w:val="32"/>
          <w:highlight w:val="none"/>
          <w:lang w:val="en-US" w:eastAsia="zh-CN"/>
        </w:rPr>
        <w:t>电价</w:t>
      </w:r>
      <w:r>
        <w:rPr>
          <w:rFonts w:hint="default" w:ascii="Times New Roman" w:hAnsi="Times New Roman" w:eastAsia="仿宋" w:cs="Times New Roman"/>
          <w:color w:val="auto"/>
          <w:sz w:val="32"/>
          <w:szCs w:val="32"/>
          <w:highlight w:val="none"/>
        </w:rPr>
        <w:t>按照电网</w:t>
      </w:r>
      <w:r>
        <w:rPr>
          <w:rFonts w:hint="eastAsia" w:ascii="Times New Roman" w:hAnsi="Times New Roman" w:eastAsia="仿宋" w:cs="Times New Roman"/>
          <w:color w:val="auto"/>
          <w:sz w:val="32"/>
          <w:szCs w:val="32"/>
          <w:highlight w:val="none"/>
          <w:lang w:val="en-US" w:eastAsia="zh-CN"/>
        </w:rPr>
        <w:t>企业</w:t>
      </w:r>
      <w:r>
        <w:rPr>
          <w:rFonts w:hint="default" w:ascii="Times New Roman" w:hAnsi="Times New Roman" w:eastAsia="仿宋" w:cs="Times New Roman"/>
          <w:color w:val="auto"/>
          <w:sz w:val="32"/>
          <w:szCs w:val="32"/>
          <w:highlight w:val="none"/>
        </w:rPr>
        <w:t>代理购电</w:t>
      </w:r>
      <w:r>
        <w:rPr>
          <w:rFonts w:hint="eastAsia" w:ascii="Times New Roman" w:hAnsi="Times New Roman" w:eastAsia="仿宋" w:cs="Times New Roman"/>
          <w:color w:val="auto"/>
          <w:sz w:val="32"/>
          <w:szCs w:val="32"/>
          <w:highlight w:val="none"/>
          <w:lang w:val="en-US" w:eastAsia="zh-CN"/>
        </w:rPr>
        <w:t>有关规定执</w:t>
      </w:r>
      <w:r>
        <w:rPr>
          <w:rFonts w:ascii="Times New Roman" w:hAnsi="Times New Roman" w:eastAsia="仿宋" w:cs="Times New Roman"/>
          <w:color w:val="auto"/>
          <w:sz w:val="32"/>
          <w:szCs w:val="32"/>
          <w:highlight w:val="none"/>
        </w:rPr>
        <w:t>行。</w:t>
      </w:r>
    </w:p>
    <w:p>
      <w:pPr>
        <w:pStyle w:val="46"/>
        <w:pageBreakBefore w:val="0"/>
        <w:numPr>
          <w:ilvl w:val="0"/>
          <w:numId w:val="9"/>
        </w:numPr>
        <w:kinsoku/>
        <w:wordWrap/>
        <w:overflowPunct/>
        <w:topLinePunct w:val="0"/>
        <w:autoSpaceDE/>
        <w:autoSpaceDN/>
        <w:bidi w:val="0"/>
        <w:adjustRightInd/>
        <w:snapToGrid/>
        <w:spacing w:before="157" w:beforeLines="50" w:after="157" w:afterLines="50" w:line="560" w:lineRule="exact"/>
        <w:ind w:firstLineChars="0"/>
        <w:jc w:val="center"/>
        <w:textAlignment w:val="auto"/>
        <w:rPr>
          <w:rFonts w:hint="eastAsia" w:ascii="方正楷体简体" w:hAnsi="方正楷体简体" w:eastAsia="方正楷体简体" w:cs="方正楷体简体"/>
          <w:color w:val="auto"/>
          <w:sz w:val="32"/>
          <w:szCs w:val="32"/>
          <w:highlight w:val="none"/>
        </w:rPr>
      </w:pPr>
      <w:r>
        <w:rPr>
          <w:rFonts w:hint="default" w:ascii="方正楷体简体" w:hAnsi="方正楷体简体" w:eastAsia="方正楷体简体" w:cs="方正楷体简体"/>
          <w:color w:val="auto"/>
          <w:sz w:val="32"/>
          <w:szCs w:val="32"/>
          <w:highlight w:val="none"/>
        </w:rPr>
        <w:t>售电公司</w:t>
      </w:r>
    </w:p>
    <w:p>
      <w:pPr>
        <w:pStyle w:val="38"/>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注册</w:t>
      </w:r>
      <w:r>
        <w:rPr>
          <w:rFonts w:hint="default" w:ascii="Times New Roman" w:hAnsi="Times New Roman" w:eastAsia="仿宋" w:cs="Times New Roman"/>
          <w:color w:val="auto"/>
          <w:sz w:val="32"/>
          <w:szCs w:val="32"/>
          <w:highlight w:val="none"/>
        </w:rPr>
        <w:t>要求]售电公司</w:t>
      </w:r>
      <w:r>
        <w:rPr>
          <w:rFonts w:hint="eastAsia" w:ascii="Times New Roman" w:hAnsi="Times New Roman" w:eastAsia="仿宋" w:cs="Times New Roman"/>
          <w:color w:val="auto"/>
          <w:sz w:val="32"/>
          <w:szCs w:val="32"/>
          <w:highlight w:val="none"/>
          <w:lang w:val="en-US"/>
        </w:rPr>
        <w:t>应</w:t>
      </w:r>
      <w:r>
        <w:rPr>
          <w:rFonts w:hint="default" w:ascii="Times New Roman" w:hAnsi="Times New Roman" w:eastAsia="仿宋" w:cs="Times New Roman"/>
          <w:color w:val="auto"/>
          <w:sz w:val="32"/>
          <w:szCs w:val="32"/>
          <w:highlight w:val="none"/>
        </w:rPr>
        <w:t>按照《售电公司管理办法》</w:t>
      </w:r>
      <w:r>
        <w:rPr>
          <w:rFonts w:ascii="Times New Roman" w:hAnsi="Times New Roman" w:eastAsia="仿宋" w:cs="Times New Roman"/>
          <w:color w:val="auto"/>
          <w:sz w:val="32"/>
          <w:szCs w:val="32"/>
          <w:highlight w:val="none"/>
        </w:rPr>
        <w:t>规定的</w:t>
      </w:r>
      <w:r>
        <w:rPr>
          <w:rFonts w:hint="eastAsia" w:ascii="Times New Roman" w:hAnsi="Times New Roman" w:eastAsia="仿宋" w:cs="Times New Roman"/>
          <w:color w:val="auto"/>
          <w:sz w:val="32"/>
          <w:szCs w:val="32"/>
          <w:highlight w:val="none"/>
          <w:lang w:val="en-US" w:eastAsia="zh-CN"/>
        </w:rPr>
        <w:t>注册</w:t>
      </w:r>
      <w:r>
        <w:rPr>
          <w:rFonts w:ascii="Times New Roman" w:hAnsi="Times New Roman" w:eastAsia="仿宋" w:cs="Times New Roman"/>
          <w:color w:val="auto"/>
          <w:sz w:val="32"/>
          <w:szCs w:val="32"/>
          <w:highlight w:val="none"/>
        </w:rPr>
        <w:t>条件和</w:t>
      </w:r>
      <w:r>
        <w:rPr>
          <w:rFonts w:hint="eastAsia" w:ascii="Times New Roman" w:hAnsi="Times New Roman" w:eastAsia="仿宋" w:cs="Times New Roman"/>
          <w:color w:val="auto"/>
          <w:sz w:val="32"/>
          <w:szCs w:val="32"/>
          <w:highlight w:val="none"/>
          <w:lang w:val="en-US" w:eastAsia="zh-CN"/>
        </w:rPr>
        <w:t>注册</w:t>
      </w:r>
      <w:r>
        <w:rPr>
          <w:rFonts w:ascii="Times New Roman" w:hAnsi="Times New Roman" w:eastAsia="仿宋" w:cs="Times New Roman"/>
          <w:color w:val="auto"/>
          <w:sz w:val="32"/>
          <w:szCs w:val="32"/>
          <w:highlight w:val="none"/>
        </w:rPr>
        <w:t>程序</w:t>
      </w:r>
      <w:r>
        <w:rPr>
          <w:rFonts w:hint="default"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获取交易资格。</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小型用户保护</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小型用户具有数量多、用电量小、变更频繁、用户信息处理及自我保护能力较弱等特点。在放开小型用户参与零售市场初期，为控制市场风险，保护小型用户权益，有序平稳推进小型用户零售市场，向小型用户售电的售电公司应在</w:t>
      </w:r>
      <w:r>
        <w:rPr>
          <w:rFonts w:hint="default" w:ascii="Times New Roman" w:hAnsi="Times New Roman" w:eastAsia="仿宋" w:cs="Times New Roman"/>
          <w:color w:val="auto"/>
          <w:sz w:val="32"/>
          <w:szCs w:val="32"/>
          <w:highlight w:val="none"/>
        </w:rPr>
        <w:t>《售电公司管理办法》</w:t>
      </w:r>
      <w:r>
        <w:rPr>
          <w:rFonts w:ascii="Times New Roman" w:hAnsi="Times New Roman" w:eastAsia="仿宋" w:cs="Times New Roman"/>
          <w:color w:val="auto"/>
          <w:sz w:val="32"/>
          <w:szCs w:val="32"/>
          <w:highlight w:val="none"/>
        </w:rPr>
        <w:t>规定的</w:t>
      </w:r>
      <w:r>
        <w:rPr>
          <w:rFonts w:hint="eastAsia" w:ascii="Times New Roman" w:hAnsi="Times New Roman" w:eastAsia="仿宋" w:cs="Times New Roman"/>
          <w:color w:val="auto"/>
          <w:sz w:val="32"/>
          <w:szCs w:val="32"/>
          <w:highlight w:val="none"/>
          <w:lang w:val="en-US" w:eastAsia="zh-CN"/>
        </w:rPr>
        <w:t>资产、履约保函、人员、服务、风险管控、信用评价等方面进一步加强管理。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行为</w:t>
      </w:r>
      <w:r>
        <w:rPr>
          <w:rFonts w:hint="default" w:ascii="Times New Roman" w:hAnsi="Times New Roman" w:eastAsia="仿宋" w:cs="Times New Roman"/>
          <w:color w:val="auto"/>
          <w:sz w:val="32"/>
          <w:szCs w:val="32"/>
          <w:highlight w:val="none"/>
        </w:rPr>
        <w:t>规范]售电公司应履行《售电公司管理办法》规定的义务，并遵守市场营销和交易行为的规范准则，包括但不限于：</w:t>
      </w:r>
    </w:p>
    <w:p>
      <w:pPr>
        <w:pStyle w:val="46"/>
        <w:pageBreakBefore w:val="0"/>
        <w:numPr>
          <w:ilvl w:val="0"/>
          <w:numId w:val="11"/>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售电公司应当向</w:t>
      </w:r>
      <w:r>
        <w:rPr>
          <w:rFonts w:hint="default" w:ascii="Times New Roman" w:hAnsi="Times New Roman" w:cs="Times New Roman"/>
          <w:color w:val="auto"/>
          <w:sz w:val="32"/>
          <w:szCs w:val="32"/>
          <w:highlight w:val="none"/>
          <w:lang w:val="en-US" w:eastAsia="zh-CN"/>
        </w:rPr>
        <w:t>零售</w:t>
      </w:r>
      <w:r>
        <w:rPr>
          <w:rFonts w:hint="default" w:ascii="Times New Roman" w:hAnsi="Times New Roman" w:cs="Times New Roman"/>
          <w:color w:val="auto"/>
          <w:sz w:val="32"/>
          <w:szCs w:val="32"/>
          <w:highlight w:val="none"/>
        </w:rPr>
        <w:t>用户全面客观介绍相关法律法规、业务规则、零售套餐或</w:t>
      </w:r>
      <w:r>
        <w:rPr>
          <w:rFonts w:hint="eastAsia" w:cs="Times New Roman"/>
          <w:color w:val="auto"/>
          <w:sz w:val="32"/>
          <w:szCs w:val="32"/>
          <w:highlight w:val="none"/>
          <w:lang w:val="en-US" w:eastAsia="zh-CN"/>
        </w:rPr>
        <w:t>售电</w:t>
      </w:r>
      <w:r>
        <w:rPr>
          <w:rFonts w:hint="default" w:ascii="Times New Roman" w:hAnsi="Times New Roman" w:cs="Times New Roman"/>
          <w:color w:val="auto"/>
          <w:sz w:val="32"/>
          <w:szCs w:val="32"/>
          <w:highlight w:val="none"/>
        </w:rPr>
        <w:t>服务的特征，充分揭示风险，并按照合同的约定，如实向</w:t>
      </w:r>
      <w:r>
        <w:rPr>
          <w:rFonts w:hint="default" w:ascii="Times New Roman" w:hAnsi="Times New Roman" w:cs="Times New Roman"/>
          <w:color w:val="auto"/>
          <w:sz w:val="32"/>
          <w:szCs w:val="32"/>
          <w:highlight w:val="none"/>
          <w:lang w:val="en-US" w:eastAsia="zh-CN"/>
        </w:rPr>
        <w:t>零售</w:t>
      </w:r>
      <w:r>
        <w:rPr>
          <w:rFonts w:hint="default" w:ascii="Times New Roman" w:hAnsi="Times New Roman" w:cs="Times New Roman"/>
          <w:color w:val="auto"/>
          <w:sz w:val="32"/>
          <w:szCs w:val="32"/>
          <w:highlight w:val="none"/>
        </w:rPr>
        <w:t>用户提供相关的资料、信息，不得欺诈或者误导</w:t>
      </w:r>
      <w:r>
        <w:rPr>
          <w:rFonts w:hint="default" w:ascii="Times New Roman" w:hAnsi="Times New Roman" w:cs="Times New Roman"/>
          <w:color w:val="auto"/>
          <w:sz w:val="32"/>
          <w:szCs w:val="32"/>
          <w:highlight w:val="none"/>
          <w:lang w:val="en-US" w:eastAsia="zh-CN"/>
        </w:rPr>
        <w:t>零售</w:t>
      </w:r>
      <w:r>
        <w:rPr>
          <w:rFonts w:hint="default" w:ascii="Times New Roman" w:hAnsi="Times New Roman" w:cs="Times New Roman"/>
          <w:color w:val="auto"/>
          <w:sz w:val="32"/>
          <w:szCs w:val="32"/>
          <w:highlight w:val="none"/>
        </w:rPr>
        <w:t>用户。售电公司应充分了解和评估</w:t>
      </w:r>
      <w:r>
        <w:rPr>
          <w:rFonts w:hint="default" w:ascii="Times New Roman" w:hAnsi="Times New Roman" w:cs="Times New Roman"/>
          <w:color w:val="auto"/>
          <w:sz w:val="32"/>
          <w:szCs w:val="32"/>
          <w:highlight w:val="none"/>
          <w:lang w:val="en-US" w:eastAsia="zh-CN"/>
        </w:rPr>
        <w:t>零售</w:t>
      </w:r>
      <w:r>
        <w:rPr>
          <w:rFonts w:hint="default" w:ascii="Times New Roman" w:hAnsi="Times New Roman" w:cs="Times New Roman"/>
          <w:color w:val="auto"/>
          <w:sz w:val="32"/>
          <w:szCs w:val="32"/>
          <w:highlight w:val="none"/>
        </w:rPr>
        <w:t>用户的风险承受能力，</w:t>
      </w:r>
      <w:r>
        <w:rPr>
          <w:rFonts w:hint="eastAsia" w:cs="Times New Roman"/>
          <w:color w:val="auto"/>
          <w:sz w:val="32"/>
          <w:szCs w:val="32"/>
          <w:highlight w:val="none"/>
          <w:lang w:val="en-US" w:eastAsia="zh-CN"/>
        </w:rPr>
        <w:t>做好</w:t>
      </w:r>
      <w:r>
        <w:rPr>
          <w:rFonts w:hint="default" w:ascii="Times New Roman" w:hAnsi="Times New Roman" w:cs="Times New Roman"/>
          <w:color w:val="auto"/>
          <w:sz w:val="32"/>
          <w:szCs w:val="32"/>
          <w:highlight w:val="none"/>
        </w:rPr>
        <w:t>对</w:t>
      </w:r>
      <w:r>
        <w:rPr>
          <w:rFonts w:hint="default" w:ascii="Times New Roman" w:hAnsi="Times New Roman" w:cs="Times New Roman"/>
          <w:color w:val="auto"/>
          <w:sz w:val="32"/>
          <w:szCs w:val="32"/>
          <w:highlight w:val="none"/>
          <w:lang w:val="en-US" w:eastAsia="zh-CN"/>
        </w:rPr>
        <w:t>零售</w:t>
      </w:r>
      <w:r>
        <w:rPr>
          <w:rFonts w:hint="default" w:ascii="Times New Roman" w:hAnsi="Times New Roman" w:cs="Times New Roman"/>
          <w:color w:val="auto"/>
          <w:sz w:val="32"/>
          <w:szCs w:val="32"/>
          <w:highlight w:val="none"/>
        </w:rPr>
        <w:t>用户的适当性管理。</w:t>
      </w:r>
    </w:p>
    <w:p>
      <w:pPr>
        <w:pStyle w:val="46"/>
        <w:pageBreakBefore w:val="0"/>
        <w:numPr>
          <w:ilvl w:val="0"/>
          <w:numId w:val="11"/>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售电公司应当积极履行自身作出的承诺，依法保障</w:t>
      </w:r>
      <w:r>
        <w:rPr>
          <w:rFonts w:hint="eastAsia" w:cs="Times New Roman"/>
          <w:color w:val="auto"/>
          <w:sz w:val="32"/>
          <w:szCs w:val="32"/>
          <w:highlight w:val="none"/>
          <w:lang w:val="en-US" w:eastAsia="zh-CN"/>
        </w:rPr>
        <w:t>零售用户的</w:t>
      </w:r>
      <w:r>
        <w:rPr>
          <w:rFonts w:hint="default" w:ascii="Times New Roman" w:hAnsi="Times New Roman" w:cs="Times New Roman"/>
          <w:color w:val="auto"/>
          <w:sz w:val="32"/>
          <w:szCs w:val="32"/>
          <w:highlight w:val="none"/>
        </w:rPr>
        <w:t>合法权益；不得违反法律规定，扰乱市场竞争秩序，损害其他售电公司</w:t>
      </w:r>
      <w:r>
        <w:rPr>
          <w:rFonts w:hint="eastAsia" w:cs="Times New Roman"/>
          <w:color w:val="auto"/>
          <w:sz w:val="32"/>
          <w:szCs w:val="32"/>
          <w:highlight w:val="none"/>
          <w:lang w:val="en-US" w:eastAsia="zh-CN"/>
        </w:rPr>
        <w:t>的</w:t>
      </w:r>
      <w:r>
        <w:rPr>
          <w:rFonts w:hint="eastAsia" w:cs="Times New Roman"/>
          <w:color w:val="auto"/>
          <w:sz w:val="32"/>
          <w:szCs w:val="32"/>
          <w:highlight w:val="none"/>
          <w:lang w:val="en-US"/>
        </w:rPr>
        <w:t>合法权益</w:t>
      </w:r>
      <w:r>
        <w:rPr>
          <w:rFonts w:hint="default" w:ascii="Times New Roman" w:hAnsi="Times New Roman" w:cs="Times New Roman"/>
          <w:color w:val="auto"/>
          <w:sz w:val="32"/>
          <w:szCs w:val="32"/>
          <w:highlight w:val="none"/>
        </w:rPr>
        <w:t>。</w:t>
      </w:r>
    </w:p>
    <w:p>
      <w:pPr>
        <w:pStyle w:val="46"/>
        <w:pageBreakBefore w:val="0"/>
        <w:numPr>
          <w:ilvl w:val="0"/>
          <w:numId w:val="11"/>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售电公司不得外包或交由第三方机构开展</w:t>
      </w:r>
      <w:r>
        <w:rPr>
          <w:rFonts w:hint="eastAsia" w:cs="Times New Roman"/>
          <w:color w:val="auto"/>
          <w:sz w:val="32"/>
          <w:szCs w:val="32"/>
          <w:highlight w:val="none"/>
          <w:lang w:val="en-US" w:eastAsia="zh-CN"/>
        </w:rPr>
        <w:t>核心</w:t>
      </w:r>
      <w:r>
        <w:rPr>
          <w:rFonts w:hint="default" w:ascii="Times New Roman" w:hAnsi="Times New Roman" w:cs="Times New Roman"/>
          <w:color w:val="auto"/>
          <w:sz w:val="32"/>
          <w:szCs w:val="32"/>
          <w:highlight w:val="none"/>
        </w:rPr>
        <w:t>售电业务。</w:t>
      </w:r>
    </w:p>
    <w:p>
      <w:pPr>
        <w:pStyle w:val="46"/>
        <w:pageBreakBefore w:val="0"/>
        <w:numPr>
          <w:ilvl w:val="0"/>
          <w:numId w:val="11"/>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售电公司</w:t>
      </w:r>
      <w:r>
        <w:rPr>
          <w:rFonts w:ascii="Times New Roman" w:hAnsi="Times New Roman" w:cs="Times New Roman"/>
          <w:color w:val="auto"/>
          <w:sz w:val="32"/>
          <w:szCs w:val="32"/>
          <w:highlight w:val="none"/>
        </w:rPr>
        <w:t>应当依法经营，勤勉尽责，诚实守信</w:t>
      </w:r>
      <w:r>
        <w:rPr>
          <w:rFonts w:hint="eastAsia" w:cs="Times New Roman"/>
          <w:color w:val="auto"/>
          <w:sz w:val="32"/>
          <w:szCs w:val="32"/>
          <w:highlight w:val="none"/>
          <w:lang w:eastAsia="zh-CN"/>
        </w:rPr>
        <w:t>；</w:t>
      </w:r>
      <w:r>
        <w:rPr>
          <w:rFonts w:ascii="Times New Roman" w:hAnsi="Times New Roman" w:cs="Times New Roman"/>
          <w:color w:val="auto"/>
          <w:sz w:val="32"/>
          <w:szCs w:val="32"/>
          <w:highlight w:val="none"/>
        </w:rPr>
        <w:t>应当建立健全内部制度，</w:t>
      </w:r>
      <w:r>
        <w:rPr>
          <w:rFonts w:hint="default" w:ascii="Times New Roman" w:hAnsi="Times New Roman" w:cs="Times New Roman"/>
          <w:color w:val="auto"/>
          <w:sz w:val="32"/>
          <w:szCs w:val="32"/>
          <w:highlight w:val="none"/>
        </w:rPr>
        <w:t>防止信息的不当流动和滥用，</w:t>
      </w:r>
      <w:r>
        <w:rPr>
          <w:rFonts w:ascii="Times New Roman" w:hAnsi="Times New Roman" w:cs="Times New Roman"/>
          <w:color w:val="auto"/>
          <w:sz w:val="32"/>
          <w:szCs w:val="32"/>
          <w:highlight w:val="none"/>
        </w:rPr>
        <w:t>防范</w:t>
      </w:r>
      <w:r>
        <w:rPr>
          <w:rFonts w:hint="default" w:ascii="Times New Roman" w:hAnsi="Times New Roman" w:cs="Times New Roman"/>
          <w:color w:val="auto"/>
          <w:sz w:val="32"/>
          <w:szCs w:val="32"/>
          <w:highlight w:val="none"/>
        </w:rPr>
        <w:t>售电公司</w:t>
      </w:r>
      <w:r>
        <w:rPr>
          <w:rFonts w:ascii="Times New Roman" w:hAnsi="Times New Roman" w:cs="Times New Roman"/>
          <w:color w:val="auto"/>
          <w:sz w:val="32"/>
          <w:szCs w:val="32"/>
          <w:highlight w:val="none"/>
        </w:rPr>
        <w:t>与</w:t>
      </w:r>
      <w:r>
        <w:rPr>
          <w:rFonts w:hint="default" w:ascii="Times New Roman" w:hAnsi="Times New Roman" w:cs="Times New Roman"/>
          <w:color w:val="auto"/>
          <w:sz w:val="32"/>
          <w:szCs w:val="32"/>
          <w:highlight w:val="none"/>
        </w:rPr>
        <w:t>零售用户</w:t>
      </w:r>
      <w:r>
        <w:rPr>
          <w:rFonts w:ascii="Times New Roman" w:hAnsi="Times New Roman" w:cs="Times New Roman"/>
          <w:color w:val="auto"/>
          <w:sz w:val="32"/>
          <w:szCs w:val="32"/>
          <w:highlight w:val="none"/>
        </w:rPr>
        <w:t>之间、不同</w:t>
      </w:r>
      <w:r>
        <w:rPr>
          <w:rFonts w:hint="default" w:ascii="Times New Roman" w:hAnsi="Times New Roman" w:cs="Times New Roman"/>
          <w:color w:val="auto"/>
          <w:sz w:val="32"/>
          <w:szCs w:val="32"/>
          <w:highlight w:val="none"/>
        </w:rPr>
        <w:t>零售用户</w:t>
      </w:r>
      <w:r>
        <w:rPr>
          <w:rFonts w:ascii="Times New Roman" w:hAnsi="Times New Roman" w:cs="Times New Roman"/>
          <w:color w:val="auto"/>
          <w:sz w:val="32"/>
          <w:szCs w:val="32"/>
          <w:highlight w:val="none"/>
        </w:rPr>
        <w:t>之间的利益冲突。</w:t>
      </w:r>
    </w:p>
    <w:p>
      <w:pPr>
        <w:pStyle w:val="2"/>
        <w:rPr>
          <w:highlight w:val="none"/>
        </w:rPr>
      </w:pP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39" w:name="_Toc14447"/>
      <w:bookmarkStart w:id="40" w:name="_Toc28612"/>
      <w:bookmarkStart w:id="41" w:name="_Toc103787840"/>
      <w:bookmarkStart w:id="42" w:name="_Toc104490859"/>
      <w:bookmarkStart w:id="43" w:name="_Toc17980"/>
      <w:bookmarkStart w:id="44" w:name="_Toc26120"/>
      <w:bookmarkStart w:id="45" w:name="_Toc3643"/>
      <w:bookmarkStart w:id="46" w:name="_Toc23428"/>
      <w:bookmarkStart w:id="47" w:name="_Toc14110"/>
      <w:bookmarkStart w:id="48" w:name="_Toc1112"/>
      <w:bookmarkStart w:id="49" w:name="_Toc26398"/>
      <w:bookmarkStart w:id="50" w:name="_Toc20268"/>
      <w:r>
        <w:rPr>
          <w:rFonts w:hint="default" w:ascii="黑体" w:hAnsi="黑体" w:eastAsia="黑体" w:cs="黑体"/>
          <w:b w:val="0"/>
          <w:bCs w:val="0"/>
          <w:color w:val="auto"/>
          <w:sz w:val="32"/>
          <w:szCs w:val="32"/>
          <w:highlight w:val="none"/>
        </w:rPr>
        <w:t>账号及档案</w:t>
      </w:r>
      <w:bookmarkEnd w:id="39"/>
      <w:bookmarkEnd w:id="40"/>
      <w:bookmarkEnd w:id="41"/>
      <w:bookmarkEnd w:id="42"/>
      <w:bookmarkEnd w:id="43"/>
      <w:bookmarkEnd w:id="44"/>
      <w:bookmarkEnd w:id="45"/>
      <w:bookmarkEnd w:id="46"/>
      <w:bookmarkEnd w:id="47"/>
      <w:bookmarkEnd w:id="48"/>
      <w:bookmarkEnd w:id="49"/>
      <w:bookmarkEnd w:id="50"/>
    </w:p>
    <w:p>
      <w:pPr>
        <w:pStyle w:val="46"/>
        <w:pageBreakBefore w:val="0"/>
        <w:numPr>
          <w:ilvl w:val="0"/>
          <w:numId w:val="12"/>
        </w:numPr>
        <w:kinsoku/>
        <w:wordWrap/>
        <w:overflowPunct/>
        <w:topLinePunct w:val="0"/>
        <w:autoSpaceDE/>
        <w:autoSpaceDN/>
        <w:bidi w:val="0"/>
        <w:adjustRightInd/>
        <w:snapToGrid/>
        <w:spacing w:after="157" w:afterLines="50" w:line="560" w:lineRule="exact"/>
        <w:ind w:firstLineChars="0"/>
        <w:jc w:val="center"/>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零售平台</w:t>
      </w:r>
      <w:r>
        <w:rPr>
          <w:rFonts w:hint="default" w:ascii="方正楷体简体" w:hAnsi="方正楷体简体" w:eastAsia="方正楷体简体" w:cs="方正楷体简体"/>
          <w:color w:val="auto"/>
          <w:sz w:val="32"/>
          <w:szCs w:val="32"/>
          <w:highlight w:val="none"/>
        </w:rPr>
        <w:t>账号管理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[零售平台账号]</w:t>
      </w:r>
      <w:r>
        <w:rPr>
          <w:rFonts w:hint="eastAsia" w:ascii="Times New Roman" w:hAnsi="Times New Roman" w:eastAsia="仿宋" w:cs="Times New Roman"/>
          <w:color w:val="auto"/>
          <w:sz w:val="32"/>
          <w:szCs w:val="32"/>
          <w:highlight w:val="none"/>
          <w:lang w:val="en-US" w:eastAsia="zh-CN"/>
        </w:rPr>
        <w:t>帐号</w:t>
      </w:r>
      <w:r>
        <w:rPr>
          <w:rFonts w:hint="default" w:ascii="Times New Roman" w:hAnsi="Times New Roman" w:eastAsia="仿宋" w:cs="Times New Roman"/>
          <w:color w:val="auto"/>
          <w:sz w:val="32"/>
          <w:szCs w:val="32"/>
          <w:highlight w:val="none"/>
        </w:rPr>
        <w:t>使用方为市场主体、电网企业、市场运营机构、非市场成员及其账号使用人，管理方为</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。零售平台与</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各信息系统通用统一的账号管理体系。</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bookmarkStart w:id="51" w:name="_Toc103787842"/>
      <w:r>
        <w:rPr>
          <w:rFonts w:hint="default"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账号管理原则</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账号管理遵循的主要原则：</w:t>
      </w:r>
    </w:p>
    <w:p>
      <w:pPr>
        <w:pStyle w:val="36"/>
        <w:pageBreakBefore w:val="0"/>
        <w:numPr>
          <w:ilvl w:val="0"/>
          <w:numId w:val="13"/>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s="Times New Roman"/>
          <w:color w:val="auto"/>
          <w:sz w:val="32"/>
          <w:szCs w:val="32"/>
          <w:highlight w:val="none"/>
        </w:rPr>
        <w:t>售电公司与</w:t>
      </w:r>
      <w:r>
        <w:rPr>
          <w:rFonts w:hint="default" w:ascii="Times New Roman" w:hAnsi="Times New Roman" w:eastAsia="仿宋" w:cs="Times New Roman"/>
          <w:color w:val="auto"/>
          <w:sz w:val="32"/>
          <w:szCs w:val="32"/>
          <w:highlight w:val="none"/>
          <w:lang w:val="en-US" w:eastAsia="zh-CN"/>
        </w:rPr>
        <w:t>零售用户</w:t>
      </w:r>
      <w:r>
        <w:rPr>
          <w:rFonts w:hint="eastAsia" w:hAnsi="Times New Roman" w:eastAsia="仿宋" w:cs="Times New Roman"/>
          <w:color w:val="auto"/>
          <w:sz w:val="32"/>
          <w:szCs w:val="32"/>
          <w:highlight w:val="none"/>
          <w:lang w:val="en-US" w:eastAsia="zh-CN"/>
        </w:rPr>
        <w:t>应</w:t>
      </w:r>
      <w:r>
        <w:rPr>
          <w:rFonts w:hint="default" w:ascii="Times New Roman" w:hAnsi="Times New Roman" w:eastAsia="仿宋" w:cs="Times New Roman"/>
          <w:color w:val="auto"/>
          <w:sz w:val="32"/>
          <w:szCs w:val="32"/>
          <w:highlight w:val="none"/>
        </w:rPr>
        <w:t>注册企业管理员账号，代表企业在交易系统维护本企业信息</w:t>
      </w:r>
      <w:r>
        <w:rPr>
          <w:rFonts w:hint="eastAsia"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开展电力市场业务等。</w:t>
      </w:r>
    </w:p>
    <w:p>
      <w:pPr>
        <w:pStyle w:val="36"/>
        <w:pageBreakBefore w:val="0"/>
        <w:numPr>
          <w:ilvl w:val="0"/>
          <w:numId w:val="13"/>
        </w:numPr>
        <w:kinsoku/>
        <w:wordWrap/>
        <w:overflowPunct/>
        <w:topLinePunct w:val="0"/>
        <w:autoSpaceDE/>
        <w:autoSpaceDN/>
        <w:bidi w:val="0"/>
        <w:adjustRightInd/>
        <w:snapToGrid/>
        <w:spacing w:line="58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s="Times New Roman"/>
          <w:color w:val="auto"/>
          <w:sz w:val="32"/>
          <w:szCs w:val="32"/>
          <w:highlight w:val="none"/>
        </w:rPr>
        <w:t>个人原则上只能</w:t>
      </w:r>
      <w:r>
        <w:rPr>
          <w:rFonts w:hint="eastAsia" w:hAnsi="Times New Roman" w:eastAsia="仿宋" w:cs="Times New Roman"/>
          <w:color w:val="auto"/>
          <w:sz w:val="32"/>
          <w:szCs w:val="32"/>
          <w:highlight w:val="none"/>
          <w:lang w:val="en-US" w:eastAsia="zh-CN"/>
        </w:rPr>
        <w:t>注册</w:t>
      </w:r>
      <w:r>
        <w:rPr>
          <w:rFonts w:hint="default" w:ascii="Times New Roman" w:hAnsi="Times New Roman" w:eastAsia="仿宋" w:cs="Times New Roman"/>
          <w:color w:val="auto"/>
          <w:sz w:val="32"/>
          <w:szCs w:val="32"/>
          <w:highlight w:val="none"/>
        </w:rPr>
        <w:t>一家零售用户</w:t>
      </w:r>
      <w:r>
        <w:rPr>
          <w:rFonts w:hint="eastAsia" w:hAnsi="Times New Roman" w:eastAsia="仿宋" w:cs="Times New Roman"/>
          <w:color w:val="auto"/>
          <w:sz w:val="32"/>
          <w:szCs w:val="32"/>
          <w:highlight w:val="none"/>
          <w:lang w:val="en-US" w:eastAsia="zh-CN"/>
        </w:rPr>
        <w:t>的企业管理员</w:t>
      </w:r>
      <w:r>
        <w:rPr>
          <w:rFonts w:hint="default" w:ascii="Times New Roman" w:hAnsi="Times New Roman" w:eastAsia="仿宋" w:cs="Times New Roman"/>
          <w:color w:val="auto"/>
          <w:sz w:val="32"/>
          <w:szCs w:val="32"/>
          <w:highlight w:val="none"/>
        </w:rPr>
        <w:t>账号</w:t>
      </w:r>
      <w:r>
        <w:rPr>
          <w:rFonts w:hint="eastAsia"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担任多家零售用户法定代表人或负责人</w:t>
      </w:r>
      <w:r>
        <w:rPr>
          <w:rFonts w:hint="eastAsia" w:hAnsi="Times New Roman" w:eastAsia="仿宋" w:cs="Times New Roman"/>
          <w:color w:val="auto"/>
          <w:sz w:val="32"/>
          <w:szCs w:val="32"/>
          <w:highlight w:val="none"/>
          <w:lang w:val="en-US"/>
        </w:rPr>
        <w:t>的</w:t>
      </w:r>
      <w:r>
        <w:rPr>
          <w:rFonts w:hint="default" w:ascii="Times New Roman" w:hAnsi="Times New Roman" w:eastAsia="仿宋" w:cs="Times New Roman"/>
          <w:color w:val="auto"/>
          <w:sz w:val="32"/>
          <w:szCs w:val="32"/>
          <w:highlight w:val="none"/>
        </w:rPr>
        <w:t>个人，</w:t>
      </w:r>
      <w:r>
        <w:rPr>
          <w:rFonts w:hint="eastAsia" w:hAnsi="Times New Roman" w:eastAsia="仿宋" w:cs="Times New Roman"/>
          <w:color w:val="auto"/>
          <w:sz w:val="32"/>
          <w:szCs w:val="32"/>
          <w:highlight w:val="none"/>
          <w:lang w:val="en-US" w:eastAsia="zh-CN"/>
        </w:rPr>
        <w:t>提供有效证明后</w:t>
      </w:r>
      <w:r>
        <w:rPr>
          <w:rFonts w:hint="default" w:ascii="Times New Roman" w:hAnsi="Times New Roman" w:eastAsia="仿宋" w:cs="Times New Roman"/>
          <w:color w:val="auto"/>
          <w:sz w:val="32"/>
          <w:szCs w:val="32"/>
          <w:highlight w:val="none"/>
        </w:rPr>
        <w:t>可同时持有其担任法定代表人或负责人的零售用户</w:t>
      </w:r>
      <w:r>
        <w:rPr>
          <w:rFonts w:hint="eastAsia"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账号</w:t>
      </w:r>
      <w:r>
        <w:rPr>
          <w:rFonts w:hint="eastAsia" w:hAnsi="Times New Roman" w:eastAsia="仿宋" w:cs="Times New Roman"/>
          <w:color w:val="auto"/>
          <w:sz w:val="32"/>
          <w:szCs w:val="32"/>
          <w:highlight w:val="none"/>
          <w:lang w:eastAsia="zh-CN"/>
        </w:rPr>
        <w:t>；</w:t>
      </w:r>
      <w:r>
        <w:rPr>
          <w:rFonts w:hint="eastAsia" w:hAnsi="Times New Roman" w:eastAsia="仿宋" w:cs="Times New Roman"/>
          <w:color w:val="auto"/>
          <w:sz w:val="32"/>
          <w:szCs w:val="32"/>
          <w:highlight w:val="none"/>
          <w:lang w:val="en-US" w:eastAsia="zh-CN"/>
        </w:rPr>
        <w:t>其他情况下，</w:t>
      </w:r>
      <w:r>
        <w:rPr>
          <w:rFonts w:hint="default" w:ascii="Times New Roman" w:hAnsi="Times New Roman" w:eastAsia="仿宋" w:cs="Times New Roman"/>
          <w:color w:val="auto"/>
          <w:sz w:val="32"/>
          <w:szCs w:val="32"/>
          <w:highlight w:val="none"/>
        </w:rPr>
        <w:t>个人</w:t>
      </w:r>
      <w:r>
        <w:rPr>
          <w:rFonts w:hint="default" w:ascii="Times New Roman" w:hAnsi="Times New Roman" w:eastAsia="仿宋" w:cs="Times New Roman"/>
          <w:color w:val="auto"/>
          <w:sz w:val="32"/>
          <w:szCs w:val="32"/>
          <w:highlight w:val="none"/>
          <w:lang w:val="en-US" w:eastAsia="zh-CN"/>
        </w:rPr>
        <w:t>不得</w:t>
      </w:r>
      <w:r>
        <w:rPr>
          <w:rFonts w:hint="eastAsia" w:hAnsi="Times New Roman" w:eastAsia="仿宋" w:cs="Times New Roman"/>
          <w:color w:val="auto"/>
          <w:sz w:val="32"/>
          <w:szCs w:val="32"/>
          <w:highlight w:val="none"/>
          <w:lang w:val="en-US" w:eastAsia="zh-CN"/>
        </w:rPr>
        <w:t>注册</w:t>
      </w:r>
      <w:r>
        <w:rPr>
          <w:rFonts w:hint="default" w:ascii="Times New Roman" w:hAnsi="Times New Roman" w:eastAsia="仿宋" w:cs="Times New Roman"/>
          <w:color w:val="auto"/>
          <w:sz w:val="32"/>
          <w:szCs w:val="32"/>
          <w:highlight w:val="none"/>
          <w:lang w:val="en-US" w:eastAsia="zh-CN"/>
        </w:rPr>
        <w:t>多家</w:t>
      </w:r>
      <w:r>
        <w:rPr>
          <w:rFonts w:hint="default" w:ascii="Times New Roman" w:hAnsi="Times New Roman" w:eastAsia="仿宋" w:cs="Times New Roman"/>
          <w:color w:val="auto"/>
          <w:sz w:val="32"/>
          <w:szCs w:val="32"/>
          <w:highlight w:val="none"/>
        </w:rPr>
        <w:t>零售用户账号</w:t>
      </w:r>
      <w:r>
        <w:rPr>
          <w:rFonts w:hint="default" w:ascii="Times New Roman" w:hAnsi="Times New Roman" w:eastAsia="仿宋" w:cs="Times New Roman"/>
          <w:color w:val="auto"/>
          <w:sz w:val="32"/>
          <w:szCs w:val="32"/>
          <w:highlight w:val="none"/>
          <w:lang w:val="en-US" w:eastAsia="zh-CN"/>
        </w:rPr>
        <w:t>。</w:t>
      </w:r>
    </w:p>
    <w:p>
      <w:pPr>
        <w:pStyle w:val="36"/>
        <w:pageBreakBefore w:val="0"/>
        <w:numPr>
          <w:ilvl w:val="0"/>
          <w:numId w:val="13"/>
        </w:numPr>
        <w:kinsoku/>
        <w:wordWrap/>
        <w:overflowPunct/>
        <w:topLinePunct w:val="0"/>
        <w:autoSpaceDE/>
        <w:autoSpaceDN/>
        <w:bidi w:val="0"/>
        <w:adjustRightInd/>
        <w:snapToGrid/>
        <w:spacing w:line="58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账号使用人身份信息须通过实名认证。实名认证的方式包括但不限于：</w:t>
      </w:r>
    </w:p>
    <w:p>
      <w:pPr>
        <w:pStyle w:val="46"/>
        <w:pageBreakBefore w:val="0"/>
        <w:numPr>
          <w:ilvl w:val="0"/>
          <w:numId w:val="14"/>
        </w:numPr>
        <w:kinsoku/>
        <w:wordWrap/>
        <w:overflowPunct/>
        <w:topLinePunct w:val="0"/>
        <w:autoSpaceDE/>
        <w:autoSpaceDN/>
        <w:bidi w:val="0"/>
        <w:adjustRightInd/>
        <w:snapToGrid/>
        <w:spacing w:line="580" w:lineRule="exact"/>
        <w:ind w:firstLineChars="0"/>
        <w:textAlignment w:val="auto"/>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通过通讯服务运营商进行账号使用人姓名、</w:t>
      </w:r>
      <w:r>
        <w:rPr>
          <w:rFonts w:hint="eastAsia" w:cs="Times New Roman"/>
          <w:color w:val="auto"/>
          <w:sz w:val="32"/>
          <w:szCs w:val="32"/>
          <w:highlight w:val="none"/>
          <w:lang w:val="en-US" w:eastAsia="zh-CN"/>
        </w:rPr>
        <w:t>公民</w:t>
      </w:r>
      <w:r>
        <w:rPr>
          <w:rFonts w:ascii="Times New Roman" w:hAnsi="Times New Roman" w:cs="Times New Roman"/>
          <w:color w:val="auto"/>
          <w:sz w:val="32"/>
          <w:szCs w:val="32"/>
          <w:highlight w:val="none"/>
        </w:rPr>
        <w:t>身份证号码与手机号码实名登记信息一致的验证。</w:t>
      </w:r>
    </w:p>
    <w:p>
      <w:pPr>
        <w:pStyle w:val="46"/>
        <w:pageBreakBefore w:val="0"/>
        <w:numPr>
          <w:ilvl w:val="0"/>
          <w:numId w:val="14"/>
        </w:numPr>
        <w:kinsoku/>
        <w:wordWrap/>
        <w:overflowPunct/>
        <w:topLinePunct w:val="0"/>
        <w:autoSpaceDE/>
        <w:autoSpaceDN/>
        <w:bidi w:val="0"/>
        <w:adjustRightInd/>
        <w:snapToGrid/>
        <w:spacing w:line="580" w:lineRule="exact"/>
        <w:ind w:firstLineChars="0"/>
        <w:textAlignment w:val="auto"/>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通过</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粤信签”</w:t>
      </w:r>
      <w:r>
        <w:rPr>
          <w:rFonts w:ascii="Times New Roman" w:hAnsi="Times New Roman" w:cs="Times New Roman"/>
          <w:color w:val="auto"/>
          <w:sz w:val="32"/>
          <w:szCs w:val="32"/>
          <w:highlight w:val="none"/>
        </w:rPr>
        <w:t>等外部系统进行的人脸生物特征信息识别验证。</w:t>
      </w:r>
    </w:p>
    <w:p>
      <w:pPr>
        <w:pStyle w:val="36"/>
        <w:pageBreakBefore w:val="0"/>
        <w:numPr>
          <w:ilvl w:val="0"/>
          <w:numId w:val="13"/>
        </w:numPr>
        <w:kinsoku/>
        <w:wordWrap/>
        <w:overflowPunct/>
        <w:topLinePunct w:val="0"/>
        <w:autoSpaceDE/>
        <w:autoSpaceDN/>
        <w:bidi w:val="0"/>
        <w:adjustRightInd/>
        <w:snapToGrid/>
        <w:spacing w:line="580" w:lineRule="exact"/>
        <w:ind w:firstLine="960" w:firstLineChars="300"/>
        <w:jc w:val="both"/>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企业管理员账号注册时，应通过对公打款、法定代表人</w:t>
      </w:r>
      <w:r>
        <w:rPr>
          <w:rFonts w:hint="eastAsia" w:hAnsi="Times New Roman" w:eastAsia="仿宋"/>
          <w:color w:val="auto"/>
          <w:sz w:val="32"/>
          <w:szCs w:val="32"/>
          <w:highlight w:val="none"/>
          <w:lang w:val="en-US" w:eastAsia="zh-CN"/>
        </w:rPr>
        <w:t>人</w:t>
      </w:r>
      <w:r>
        <w:rPr>
          <w:rFonts w:ascii="Times New Roman" w:hAnsi="Times New Roman" w:eastAsia="仿宋"/>
          <w:color w:val="auto"/>
          <w:sz w:val="32"/>
          <w:szCs w:val="32"/>
          <w:highlight w:val="none"/>
        </w:rPr>
        <w:t>脸识别等方式完成企业真实性及意愿认证，领取CA证书，完成线上授权委托书电子签章。</w:t>
      </w:r>
    </w:p>
    <w:p>
      <w:pPr>
        <w:pStyle w:val="36"/>
        <w:pageBreakBefore w:val="0"/>
        <w:numPr>
          <w:ilvl w:val="0"/>
          <w:numId w:val="13"/>
        </w:numPr>
        <w:kinsoku/>
        <w:wordWrap/>
        <w:overflowPunct/>
        <w:topLinePunct w:val="0"/>
        <w:autoSpaceDE/>
        <w:autoSpaceDN/>
        <w:bidi w:val="0"/>
        <w:adjustRightInd/>
        <w:snapToGrid/>
        <w:spacing w:line="580" w:lineRule="exact"/>
        <w:ind w:firstLine="960" w:firstLineChars="300"/>
        <w:jc w:val="both"/>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市场主体应按照国家相关法律法规、</w:t>
      </w:r>
      <w:r>
        <w:rPr>
          <w:rFonts w:hint="default" w:ascii="Times New Roman" w:hAnsi="Times New Roman" w:eastAsia="仿宋"/>
          <w:color w:val="auto"/>
          <w:sz w:val="32"/>
          <w:szCs w:val="32"/>
          <w:highlight w:val="none"/>
        </w:rPr>
        <w:t>本办法相关要求，开展零售平台账号注册、登录、使用、变更、注销等活动。具体</w:t>
      </w:r>
      <w:r>
        <w:rPr>
          <w:rFonts w:hint="eastAsia" w:hAnsi="Times New Roman" w:eastAsia="仿宋"/>
          <w:color w:val="auto"/>
          <w:sz w:val="32"/>
          <w:szCs w:val="32"/>
          <w:highlight w:val="none"/>
          <w:lang w:val="en-US" w:eastAsia="zh-CN"/>
        </w:rPr>
        <w:t>操作流程</w:t>
      </w:r>
      <w:r>
        <w:rPr>
          <w:rFonts w:hint="default" w:ascii="Times New Roman" w:hAnsi="Times New Roman" w:eastAsia="仿宋"/>
          <w:color w:val="auto"/>
          <w:sz w:val="32"/>
          <w:szCs w:val="32"/>
          <w:highlight w:val="none"/>
        </w:rPr>
        <w:t>由</w:t>
      </w:r>
      <w:r>
        <w:rPr>
          <w:rFonts w:hint="eastAsia" w:hAnsi="Times New Roman" w:eastAsia="仿宋"/>
          <w:color w:val="auto"/>
          <w:sz w:val="32"/>
          <w:szCs w:val="32"/>
          <w:highlight w:val="none"/>
          <w:lang w:val="en-US" w:eastAsia="zh-CN"/>
        </w:rPr>
        <w:t>帐号管理</w:t>
      </w:r>
      <w:r>
        <w:rPr>
          <w:rFonts w:hint="default" w:ascii="Times New Roman" w:hAnsi="Times New Roman" w:eastAsia="仿宋"/>
          <w:color w:val="auto"/>
          <w:sz w:val="32"/>
          <w:szCs w:val="32"/>
          <w:highlight w:val="none"/>
        </w:rPr>
        <w:t>相关</w:t>
      </w:r>
      <w:r>
        <w:rPr>
          <w:rFonts w:hint="eastAsia" w:hAnsi="Times New Roman" w:eastAsia="仿宋"/>
          <w:color w:val="auto"/>
          <w:sz w:val="32"/>
          <w:szCs w:val="32"/>
          <w:highlight w:val="none"/>
          <w:lang w:val="en-US" w:eastAsia="zh-CN"/>
        </w:rPr>
        <w:t>细则</w:t>
      </w:r>
      <w:r>
        <w:rPr>
          <w:rFonts w:hint="default" w:ascii="Times New Roman" w:hAnsi="Times New Roman" w:eastAsia="仿宋"/>
          <w:color w:val="auto"/>
          <w:sz w:val="32"/>
          <w:szCs w:val="32"/>
          <w:highlight w:val="none"/>
        </w:rPr>
        <w:t>承接明确。</w:t>
      </w:r>
    </w:p>
    <w:p>
      <w:pPr>
        <w:pStyle w:val="36"/>
        <w:pageBreakBefore w:val="0"/>
        <w:numPr>
          <w:ilvl w:val="0"/>
          <w:numId w:val="13"/>
        </w:numPr>
        <w:kinsoku/>
        <w:wordWrap/>
        <w:overflowPunct/>
        <w:topLinePunct w:val="0"/>
        <w:autoSpaceDE/>
        <w:autoSpaceDN/>
        <w:bidi w:val="0"/>
        <w:adjustRightInd/>
        <w:snapToGrid/>
        <w:spacing w:line="580" w:lineRule="exact"/>
        <w:ind w:firstLine="960" w:firstLineChars="300"/>
        <w:jc w:val="both"/>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账号使用人须确保账号信息真实、准确、完整，账号名称、密码、手机号码、手机验证码等信息应妥善保管，不向他人泄露，不与他人共同使用账号。账号使用人在零售平台的所有操作均默认由本人完成，均代表</w:t>
      </w:r>
      <w:r>
        <w:rPr>
          <w:rFonts w:hint="eastAsia" w:hAnsi="Times New Roman" w:eastAsia="仿宋"/>
          <w:color w:val="auto"/>
          <w:sz w:val="32"/>
          <w:szCs w:val="32"/>
          <w:highlight w:val="none"/>
          <w:lang w:val="en-US" w:eastAsia="zh-CN"/>
        </w:rPr>
        <w:t>相对应</w:t>
      </w:r>
      <w:r>
        <w:rPr>
          <w:rFonts w:ascii="Times New Roman" w:hAnsi="Times New Roman" w:eastAsia="仿宋"/>
          <w:color w:val="auto"/>
          <w:sz w:val="32"/>
          <w:szCs w:val="32"/>
          <w:highlight w:val="none"/>
        </w:rPr>
        <w:t>企业或单位行为，相关法律责任由账号使用人及相</w:t>
      </w:r>
      <w:r>
        <w:rPr>
          <w:rFonts w:hint="eastAsia" w:hAnsi="Times New Roman" w:eastAsia="仿宋"/>
          <w:color w:val="auto"/>
          <w:sz w:val="32"/>
          <w:szCs w:val="32"/>
          <w:highlight w:val="none"/>
          <w:lang w:val="en-US" w:eastAsia="zh-CN"/>
        </w:rPr>
        <w:t>对</w:t>
      </w:r>
      <w:r>
        <w:rPr>
          <w:rFonts w:ascii="Times New Roman" w:hAnsi="Times New Roman" w:eastAsia="仿宋"/>
          <w:color w:val="auto"/>
          <w:sz w:val="32"/>
          <w:szCs w:val="32"/>
          <w:highlight w:val="none"/>
        </w:rPr>
        <w:t>应企业或单位承担。</w:t>
      </w:r>
      <w:bookmarkEnd w:id="51"/>
    </w:p>
    <w:p>
      <w:pPr>
        <w:pStyle w:val="46"/>
        <w:pageBreakBefore w:val="0"/>
        <w:numPr>
          <w:ilvl w:val="0"/>
          <w:numId w:val="12"/>
        </w:numPr>
        <w:kinsoku/>
        <w:wordWrap/>
        <w:overflowPunct/>
        <w:topLinePunct w:val="0"/>
        <w:autoSpaceDE/>
        <w:autoSpaceDN/>
        <w:bidi w:val="0"/>
        <w:adjustRightInd/>
        <w:snapToGrid/>
        <w:spacing w:before="157" w:beforeLines="50" w:after="157" w:afterLines="50" w:line="580" w:lineRule="exact"/>
        <w:ind w:firstLineChars="0"/>
        <w:jc w:val="center"/>
        <w:textAlignment w:val="auto"/>
        <w:rPr>
          <w:rFonts w:ascii="方正楷体简体" w:hAnsi="方正楷体简体" w:eastAsia="方正楷体简体" w:cs="方正楷体简体"/>
          <w:color w:val="auto"/>
          <w:sz w:val="32"/>
          <w:szCs w:val="32"/>
          <w:highlight w:val="none"/>
        </w:rPr>
      </w:pPr>
      <w:r>
        <w:rPr>
          <w:rFonts w:hint="default" w:ascii="方正楷体简体" w:hAnsi="方正楷体简体" w:eastAsia="方正楷体简体" w:cs="方正楷体简体"/>
          <w:color w:val="auto"/>
          <w:sz w:val="32"/>
          <w:szCs w:val="32"/>
          <w:highlight w:val="none"/>
        </w:rPr>
        <w:t>档案管理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档案</w:t>
      </w:r>
      <w:r>
        <w:rPr>
          <w:rFonts w:ascii="Times New Roman" w:hAnsi="Times New Roman" w:eastAsia="仿宋" w:cs="Times New Roman"/>
          <w:color w:val="auto"/>
          <w:sz w:val="32"/>
          <w:szCs w:val="32"/>
          <w:highlight w:val="none"/>
        </w:rPr>
        <w:t>管理原则</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档案管理遵循的主要原则：</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市场主体以统一社会信用代码作为唯一身份识别标志，</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负责对市场主体、零售交易订单、零售合同等信息实施编码管理。</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应建立市场主体全周期</w:t>
      </w:r>
      <w:r>
        <w:rPr>
          <w:rFonts w:hint="default" w:ascii="Times New Roman" w:hAnsi="Times New Roman" w:eastAsia="仿宋" w:cs="Times New Roman"/>
          <w:color w:val="auto"/>
          <w:sz w:val="32"/>
          <w:szCs w:val="32"/>
          <w:highlight w:val="none"/>
          <w:lang w:val="en-US" w:eastAsia="zh-CN"/>
        </w:rPr>
        <w:t>档案</w:t>
      </w:r>
      <w:r>
        <w:rPr>
          <w:rFonts w:hint="default" w:ascii="Times New Roman" w:hAnsi="Times New Roman" w:eastAsia="仿宋" w:cs="Times New Roman"/>
          <w:color w:val="auto"/>
          <w:sz w:val="32"/>
          <w:szCs w:val="32"/>
          <w:highlight w:val="none"/>
        </w:rPr>
        <w:t>管理机制，做好零售市场主体从准入注册、档案变更、电量采集、交易结算、直到退市的全周期</w:t>
      </w:r>
      <w:r>
        <w:rPr>
          <w:rFonts w:hint="eastAsia" w:ascii="Times New Roman" w:hAnsi="Times New Roman" w:eastAsia="仿宋" w:cs="Times New Roman"/>
          <w:color w:val="auto"/>
          <w:sz w:val="32"/>
          <w:szCs w:val="32"/>
          <w:highlight w:val="none"/>
          <w:lang w:val="en-US"/>
        </w:rPr>
        <w:t>的</w:t>
      </w:r>
      <w:r>
        <w:rPr>
          <w:rFonts w:hint="default" w:ascii="Times New Roman" w:hAnsi="Times New Roman" w:eastAsia="仿宋" w:cs="Times New Roman"/>
          <w:color w:val="auto"/>
          <w:sz w:val="32"/>
          <w:szCs w:val="32"/>
          <w:highlight w:val="none"/>
        </w:rPr>
        <w:t>档案管理。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[档案</w:t>
      </w:r>
      <w:r>
        <w:rPr>
          <w:rFonts w:hint="default" w:ascii="Times New Roman" w:hAnsi="Times New Roman" w:eastAsia="仿宋" w:cs="Times New Roman"/>
          <w:color w:val="auto"/>
          <w:sz w:val="32"/>
          <w:szCs w:val="32"/>
          <w:highlight w:val="none"/>
          <w:lang w:val="en-US" w:eastAsia="zh-CN"/>
        </w:rPr>
        <w:t>信息分类</w:t>
      </w:r>
      <w:r>
        <w:rPr>
          <w:rFonts w:hint="default" w:ascii="Times New Roman" w:hAnsi="Times New Roman" w:eastAsia="仿宋" w:cs="Times New Roman"/>
          <w:color w:val="auto"/>
          <w:sz w:val="32"/>
          <w:szCs w:val="32"/>
          <w:highlight w:val="none"/>
        </w:rPr>
        <w:t>]档案</w:t>
      </w:r>
      <w:r>
        <w:rPr>
          <w:rFonts w:hint="default" w:ascii="Times New Roman" w:hAnsi="Times New Roman" w:eastAsia="仿宋" w:cs="Times New Roman"/>
          <w:color w:val="auto"/>
          <w:sz w:val="32"/>
          <w:szCs w:val="32"/>
          <w:highlight w:val="none"/>
          <w:lang w:val="en-US" w:eastAsia="zh-CN"/>
        </w:rPr>
        <w:t>信息</w:t>
      </w:r>
      <w:r>
        <w:rPr>
          <w:rFonts w:hint="default" w:ascii="Times New Roman" w:hAnsi="Times New Roman" w:eastAsia="仿宋" w:cs="Times New Roman"/>
          <w:color w:val="auto"/>
          <w:sz w:val="32"/>
          <w:szCs w:val="32"/>
          <w:highlight w:val="none"/>
        </w:rPr>
        <w:t>主要分为基本档案信息、工商档案信息、用电档案信息、零售交易信息。</w:t>
      </w:r>
    </w:p>
    <w:p>
      <w:pPr>
        <w:pStyle w:val="36"/>
        <w:pageBreakBefore w:val="0"/>
        <w:numPr>
          <w:ilvl w:val="0"/>
          <w:numId w:val="1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基本档案信息</w:t>
      </w:r>
      <w:r>
        <w:rPr>
          <w:rFonts w:hint="default"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包括企业管理员个人信息、常用联系人信息等，其中售电公司基础档案还包括资产及从业人员等注册信息。基本档案由市场主体提交，市场主体应保证档案信息的完整准确并及时更新；</w:t>
      </w:r>
    </w:p>
    <w:p>
      <w:pPr>
        <w:pStyle w:val="36"/>
        <w:pageBreakBefore w:val="0"/>
        <w:numPr>
          <w:ilvl w:val="0"/>
          <w:numId w:val="1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工商档案信息</w:t>
      </w:r>
      <w:r>
        <w:rPr>
          <w:rFonts w:hint="default"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以</w:t>
      </w:r>
      <w:r>
        <w:rPr>
          <w:rFonts w:hint="eastAsia" w:hAnsi="Times New Roman" w:eastAsia="仿宋"/>
          <w:color w:val="auto"/>
          <w:sz w:val="32"/>
          <w:szCs w:val="32"/>
          <w:highlight w:val="none"/>
          <w:lang w:eastAsia="zh-CN"/>
        </w:rPr>
        <w:t>“</w:t>
      </w:r>
      <w:r>
        <w:rPr>
          <w:rFonts w:hint="eastAsia" w:hAnsi="Times New Roman" w:eastAsia="仿宋"/>
          <w:color w:val="auto"/>
          <w:sz w:val="32"/>
          <w:szCs w:val="32"/>
          <w:highlight w:val="none"/>
          <w:lang w:val="en-US" w:eastAsia="zh-CN"/>
        </w:rPr>
        <w:t>粤商通”等系统</w:t>
      </w:r>
      <w:r>
        <w:rPr>
          <w:rFonts w:hint="default" w:ascii="Times New Roman" w:hAnsi="Times New Roman" w:eastAsia="仿宋"/>
          <w:color w:val="auto"/>
          <w:sz w:val="32"/>
          <w:szCs w:val="32"/>
          <w:highlight w:val="none"/>
        </w:rPr>
        <w:t>数据为准，包括法定代表人、注册地址等信息；</w:t>
      </w:r>
    </w:p>
    <w:p>
      <w:pPr>
        <w:pStyle w:val="36"/>
        <w:pageBreakBefore w:val="0"/>
        <w:numPr>
          <w:ilvl w:val="0"/>
          <w:numId w:val="1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用电档案信息</w:t>
      </w:r>
      <w:r>
        <w:rPr>
          <w:rFonts w:hint="default"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零售平台以统一社会信用代码自动获取归集电网</w:t>
      </w:r>
      <w:r>
        <w:rPr>
          <w:rFonts w:hint="eastAsia" w:hAnsi="Times New Roman" w:eastAsia="仿宋"/>
          <w:color w:val="auto"/>
          <w:sz w:val="32"/>
          <w:szCs w:val="32"/>
          <w:highlight w:val="none"/>
          <w:lang w:val="en-US" w:eastAsia="zh-CN"/>
        </w:rPr>
        <w:t>企业</w:t>
      </w:r>
      <w:r>
        <w:rPr>
          <w:rFonts w:hint="default" w:ascii="Times New Roman" w:hAnsi="Times New Roman" w:eastAsia="仿宋"/>
          <w:color w:val="auto"/>
          <w:sz w:val="32"/>
          <w:szCs w:val="32"/>
          <w:highlight w:val="none"/>
        </w:rPr>
        <w:t>营销计量点档案信息，包括计量点的用电类别、电量、电压等级等，其中售电公司用电档案由与其登记零售关系的</w:t>
      </w:r>
      <w:r>
        <w:rPr>
          <w:rFonts w:hint="eastAsia" w:hAnsi="Times New Roman" w:eastAsia="仿宋"/>
          <w:color w:val="auto"/>
          <w:sz w:val="32"/>
          <w:szCs w:val="32"/>
          <w:highlight w:val="none"/>
          <w:lang w:val="en-US" w:eastAsia="zh-CN"/>
        </w:rPr>
        <w:t>用户的</w:t>
      </w:r>
      <w:r>
        <w:rPr>
          <w:rFonts w:hint="default" w:ascii="Times New Roman" w:hAnsi="Times New Roman" w:eastAsia="仿宋"/>
          <w:color w:val="auto"/>
          <w:sz w:val="32"/>
          <w:szCs w:val="32"/>
          <w:highlight w:val="none"/>
        </w:rPr>
        <w:t>用电档案进行归集。电网</w:t>
      </w:r>
      <w:r>
        <w:rPr>
          <w:rFonts w:hint="eastAsia" w:hAnsi="Times New Roman" w:eastAsia="仿宋"/>
          <w:color w:val="auto"/>
          <w:sz w:val="32"/>
          <w:szCs w:val="32"/>
          <w:highlight w:val="none"/>
          <w:lang w:val="en-US" w:eastAsia="zh-CN"/>
        </w:rPr>
        <w:t>企业</w:t>
      </w:r>
      <w:r>
        <w:rPr>
          <w:rFonts w:hint="default" w:ascii="Times New Roman" w:hAnsi="Times New Roman" w:eastAsia="仿宋"/>
          <w:color w:val="auto"/>
          <w:sz w:val="32"/>
          <w:szCs w:val="32"/>
          <w:highlight w:val="none"/>
        </w:rPr>
        <w:t>应保证用电档案的完整准确并及时推送零售平台。</w:t>
      </w:r>
    </w:p>
    <w:p>
      <w:pPr>
        <w:pStyle w:val="36"/>
        <w:pageBreakBefore w:val="0"/>
        <w:numPr>
          <w:ilvl w:val="0"/>
          <w:numId w:val="15"/>
        </w:numPr>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零售交易信息</w:t>
      </w:r>
      <w:r>
        <w:rPr>
          <w:rFonts w:hint="default"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市场主体通过零售平台开展相应业务产生的信息数据，具体包括零售套餐信息、交易过程信息、合同签订信息等。</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52" w:name="_Toc15221"/>
      <w:bookmarkStart w:id="53" w:name="_Toc13722"/>
      <w:bookmarkStart w:id="54" w:name="_Toc32472"/>
      <w:bookmarkStart w:id="55" w:name="_Toc20085"/>
      <w:bookmarkStart w:id="56" w:name="_Toc26218"/>
      <w:bookmarkStart w:id="57" w:name="_Toc10234"/>
      <w:bookmarkStart w:id="58" w:name="_Toc103787843"/>
      <w:bookmarkStart w:id="59" w:name="_Toc1303"/>
      <w:bookmarkStart w:id="60" w:name="_Toc104490860"/>
      <w:bookmarkStart w:id="61" w:name="_Toc3565"/>
      <w:bookmarkStart w:id="62" w:name="_Toc5939"/>
      <w:bookmarkStart w:id="63" w:name="_Toc25118"/>
      <w:r>
        <w:rPr>
          <w:rFonts w:hint="default" w:ascii="黑体" w:hAnsi="黑体" w:eastAsia="黑体" w:cs="黑体"/>
          <w:b w:val="0"/>
          <w:bCs w:val="0"/>
          <w:color w:val="auto"/>
          <w:sz w:val="32"/>
          <w:szCs w:val="32"/>
          <w:highlight w:val="none"/>
        </w:rPr>
        <w:t>零售套餐</w:t>
      </w:r>
      <w:bookmarkEnd w:id="52"/>
      <w:bookmarkEnd w:id="53"/>
      <w:bookmarkEnd w:id="54"/>
      <w:bookmarkEnd w:id="55"/>
      <w:bookmarkEnd w:id="56"/>
      <w:bookmarkEnd w:id="57"/>
      <w:bookmarkEnd w:id="58"/>
      <w:bookmarkEnd w:id="59"/>
      <w:bookmarkEnd w:id="60"/>
      <w:bookmarkEnd w:id="61"/>
      <w:bookmarkEnd w:id="62"/>
      <w:bookmarkEnd w:id="63"/>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[电力零售套餐]电力零售套餐是</w:t>
      </w:r>
      <w:r>
        <w:rPr>
          <w:rFonts w:hint="default" w:ascii="Times New Roman" w:hAnsi="Times New Roman" w:eastAsia="仿宋" w:cs="Times New Roman"/>
          <w:color w:val="auto"/>
          <w:sz w:val="32"/>
          <w:szCs w:val="32"/>
          <w:highlight w:val="none"/>
          <w:lang w:val="en-US" w:eastAsia="zh-CN"/>
        </w:rPr>
        <w:t>指</w:t>
      </w:r>
      <w:r>
        <w:rPr>
          <w:rFonts w:hint="default" w:ascii="Times New Roman" w:hAnsi="Times New Roman" w:eastAsia="仿宋" w:cs="Times New Roman"/>
          <w:color w:val="auto"/>
          <w:sz w:val="32"/>
          <w:szCs w:val="32"/>
          <w:highlight w:val="none"/>
        </w:rPr>
        <w:t>售电公司向零售用户提供售电</w:t>
      </w:r>
      <w:r>
        <w:rPr>
          <w:rFonts w:hint="eastAsia" w:ascii="Times New Roman" w:hAnsi="Times New Roman" w:eastAsia="仿宋" w:cs="Times New Roman"/>
          <w:color w:val="auto"/>
          <w:sz w:val="32"/>
          <w:szCs w:val="32"/>
          <w:highlight w:val="none"/>
          <w:lang w:val="en-US" w:eastAsia="zh-CN"/>
        </w:rPr>
        <w:t>服务</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rPr>
        <w:t>约定在某一特定时间段内按照特定的价格</w:t>
      </w:r>
      <w:r>
        <w:rPr>
          <w:rFonts w:hint="eastAsia" w:ascii="Times New Roman" w:hAnsi="Times New Roman" w:eastAsia="仿宋" w:cs="Times New Roman"/>
          <w:color w:val="auto"/>
          <w:sz w:val="32"/>
          <w:szCs w:val="32"/>
          <w:highlight w:val="none"/>
          <w:lang w:val="en-US" w:eastAsia="zh-CN"/>
        </w:rPr>
        <w:t>出售</w:t>
      </w:r>
      <w:r>
        <w:rPr>
          <w:rFonts w:hint="default" w:ascii="Times New Roman" w:hAnsi="Times New Roman" w:eastAsia="仿宋" w:cs="Times New Roman"/>
          <w:color w:val="auto"/>
          <w:sz w:val="32"/>
          <w:szCs w:val="32"/>
          <w:highlight w:val="none"/>
        </w:rPr>
        <w:t>电能量的</w:t>
      </w:r>
      <w:r>
        <w:rPr>
          <w:rFonts w:hint="default" w:ascii="Times New Roman" w:hAnsi="Times New Roman" w:eastAsia="仿宋" w:cs="Times New Roman"/>
          <w:color w:val="auto"/>
          <w:sz w:val="32"/>
          <w:szCs w:val="32"/>
          <w:highlight w:val="none"/>
          <w:lang w:val="en-US" w:eastAsia="zh-CN"/>
        </w:rPr>
        <w:t>要</w:t>
      </w:r>
      <w:r>
        <w:rPr>
          <w:rFonts w:hint="default" w:ascii="Times New Roman" w:hAnsi="Times New Roman" w:eastAsia="仿宋" w:cs="Times New Roman"/>
          <w:color w:val="auto"/>
          <w:sz w:val="32"/>
          <w:szCs w:val="32"/>
          <w:highlight w:val="none"/>
        </w:rPr>
        <w:t>约。</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零售套餐分类</w:t>
      </w:r>
      <w:r>
        <w:rPr>
          <w:rFonts w:hint="default" w:ascii="Times New Roman" w:hAnsi="Times New Roman" w:eastAsia="仿宋" w:cs="Times New Roman"/>
          <w:color w:val="auto"/>
          <w:sz w:val="32"/>
          <w:szCs w:val="32"/>
          <w:highlight w:val="none"/>
        </w:rPr>
        <w:t>]电力零售套餐可分为固定价格套餐和非固定价格套餐。</w:t>
      </w:r>
    </w:p>
    <w:p>
      <w:pPr>
        <w:pStyle w:val="36"/>
        <w:pageBreakBefore w:val="0"/>
        <w:numPr>
          <w:ilvl w:val="0"/>
          <w:numId w:val="16"/>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固定</w:t>
      </w:r>
      <w:r>
        <w:rPr>
          <w:rFonts w:hint="eastAsia" w:hAnsi="Times New Roman" w:eastAsia="仿宋" w:cs="Times New Roman"/>
          <w:color w:val="auto"/>
          <w:sz w:val="32"/>
          <w:szCs w:val="32"/>
          <w:highlight w:val="none"/>
          <w:lang w:val="en-US" w:eastAsia="zh-CN"/>
        </w:rPr>
        <w:t>价格</w:t>
      </w:r>
      <w:r>
        <w:rPr>
          <w:rFonts w:hint="default" w:ascii="Times New Roman" w:hAnsi="Times New Roman" w:eastAsia="仿宋" w:cs="Times New Roman"/>
          <w:color w:val="auto"/>
          <w:sz w:val="32"/>
          <w:szCs w:val="32"/>
          <w:highlight w:val="none"/>
        </w:rPr>
        <w:t>套餐电能量价格有明确预期，不随其他市场价格变动而调整。固定套餐可采用一口价等</w:t>
      </w:r>
      <w:r>
        <w:rPr>
          <w:rFonts w:hint="default" w:ascii="Times New Roman" w:hAnsi="Times New Roman" w:eastAsia="仿宋" w:cs="Times New Roman"/>
          <w:color w:val="auto"/>
          <w:sz w:val="32"/>
          <w:szCs w:val="32"/>
          <w:highlight w:val="none"/>
          <w:lang w:val="en-US" w:eastAsia="zh-CN"/>
        </w:rPr>
        <w:t>价格形式</w:t>
      </w:r>
      <w:r>
        <w:rPr>
          <w:rFonts w:hint="default" w:ascii="Times New Roman" w:hAnsi="Times New Roman" w:eastAsia="仿宋" w:cs="Times New Roman"/>
          <w:color w:val="auto"/>
          <w:sz w:val="32"/>
          <w:szCs w:val="32"/>
          <w:highlight w:val="none"/>
        </w:rPr>
        <w:t>。</w:t>
      </w:r>
    </w:p>
    <w:p>
      <w:pPr>
        <w:pStyle w:val="36"/>
        <w:pageBreakBefore w:val="0"/>
        <w:numPr>
          <w:ilvl w:val="0"/>
          <w:numId w:val="16"/>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非固定</w:t>
      </w:r>
      <w:r>
        <w:rPr>
          <w:rFonts w:hint="eastAsia" w:hAnsi="Times New Roman" w:eastAsia="仿宋" w:cs="Times New Roman"/>
          <w:color w:val="auto"/>
          <w:sz w:val="32"/>
          <w:szCs w:val="32"/>
          <w:highlight w:val="none"/>
          <w:lang w:val="en-US" w:eastAsia="zh-CN"/>
        </w:rPr>
        <w:t>价格</w:t>
      </w:r>
      <w:r>
        <w:rPr>
          <w:rFonts w:hint="default" w:ascii="Times New Roman" w:hAnsi="Times New Roman" w:eastAsia="仿宋" w:cs="Times New Roman"/>
          <w:color w:val="auto"/>
          <w:sz w:val="32"/>
          <w:szCs w:val="32"/>
          <w:highlight w:val="none"/>
        </w:rPr>
        <w:t>套餐一般包含市场价格联动、</w:t>
      </w:r>
      <w:r>
        <w:rPr>
          <w:rFonts w:hint="default" w:hAnsi="Times New Roman" w:eastAsia="仿宋"/>
          <w:color w:val="auto"/>
          <w:sz w:val="32"/>
          <w:szCs w:val="32"/>
          <w:highlight w:val="none"/>
        </w:rPr>
        <w:t>燃料价格联动</w:t>
      </w:r>
      <w:r>
        <w:rPr>
          <w:rFonts w:hint="default" w:ascii="Times New Roman" w:hAnsi="Times New Roman" w:eastAsia="仿宋" w:cs="Times New Roman"/>
          <w:color w:val="auto"/>
          <w:sz w:val="32"/>
          <w:szCs w:val="32"/>
          <w:highlight w:val="none"/>
        </w:rPr>
        <w:t>等价格形式</w:t>
      </w:r>
      <w:r>
        <w:rPr>
          <w:rFonts w:hint="eastAsia" w:hAnsi="Times New Roman" w:eastAsia="仿宋" w:cs="Times New Roman"/>
          <w:color w:val="auto"/>
          <w:sz w:val="32"/>
          <w:szCs w:val="32"/>
          <w:highlight w:val="none"/>
          <w:lang w:eastAsia="zh-CN"/>
        </w:rPr>
        <w:t>，</w:t>
      </w:r>
      <w:r>
        <w:rPr>
          <w:rFonts w:hint="eastAsia" w:hAnsi="Times New Roman" w:eastAsia="仿宋" w:cs="Times New Roman"/>
          <w:color w:val="auto"/>
          <w:sz w:val="32"/>
          <w:szCs w:val="32"/>
          <w:highlight w:val="none"/>
          <w:lang w:val="en-US" w:eastAsia="zh-CN"/>
        </w:rPr>
        <w:t>其中：</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eastAsia="zh-CN"/>
        </w:rPr>
        <w:t>市场价格联动指的是电能量价格与电力市场价格挂钩，随</w:t>
      </w:r>
      <w:r>
        <w:rPr>
          <w:rFonts w:hint="eastAsia" w:ascii="Times New Roman" w:hAnsi="Times New Roman" w:eastAsia="仿宋" w:cs="Times New Roman"/>
          <w:color w:val="auto"/>
          <w:sz w:val="32"/>
          <w:szCs w:val="32"/>
          <w:highlight w:val="none"/>
          <w:lang w:val="en-US" w:eastAsia="zh-CN"/>
        </w:rPr>
        <w:t>某个电力</w:t>
      </w:r>
      <w:r>
        <w:rPr>
          <w:rFonts w:hint="default" w:ascii="Times New Roman" w:hAnsi="Times New Roman" w:eastAsia="仿宋" w:cs="Times New Roman"/>
          <w:color w:val="auto"/>
          <w:sz w:val="32"/>
          <w:szCs w:val="32"/>
          <w:highlight w:val="none"/>
          <w:lang w:eastAsia="zh-CN"/>
        </w:rPr>
        <w:t>市场价格变动而上下浮动的价格</w:t>
      </w:r>
      <w:r>
        <w:rPr>
          <w:rFonts w:hint="eastAsia"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w:t>
      </w:r>
      <w:r>
        <w:rPr>
          <w:rFonts w:hint="eastAsia" w:cs="Times New Roman"/>
          <w:color w:val="auto"/>
          <w:sz w:val="32"/>
          <w:szCs w:val="32"/>
          <w:highlight w:val="none"/>
          <w:lang w:val="en-US" w:eastAsia="zh-CN"/>
        </w:rPr>
        <w:t>燃料价格</w:t>
      </w:r>
      <w:r>
        <w:rPr>
          <w:rFonts w:hint="default" w:ascii="Times New Roman" w:hAnsi="Times New Roman" w:eastAsia="仿宋" w:cs="Times New Roman"/>
          <w:color w:val="auto"/>
          <w:sz w:val="32"/>
          <w:szCs w:val="32"/>
          <w:highlight w:val="none"/>
          <w:lang w:eastAsia="zh-CN"/>
        </w:rPr>
        <w:t>联动指的是电能量价格与</w:t>
      </w:r>
      <w:r>
        <w:rPr>
          <w:rFonts w:hint="eastAsia" w:ascii="Times New Roman" w:hAnsi="Times New Roman" w:eastAsia="仿宋" w:cs="Times New Roman"/>
          <w:color w:val="auto"/>
          <w:sz w:val="32"/>
          <w:szCs w:val="32"/>
          <w:highlight w:val="none"/>
          <w:lang w:val="en-US" w:eastAsia="zh-CN"/>
        </w:rPr>
        <w:t>一次能源</w:t>
      </w:r>
      <w:r>
        <w:rPr>
          <w:rFonts w:hint="default" w:ascii="Times New Roman" w:hAnsi="Times New Roman" w:eastAsia="仿宋" w:cs="Times New Roman"/>
          <w:color w:val="auto"/>
          <w:sz w:val="32"/>
          <w:szCs w:val="32"/>
          <w:highlight w:val="none"/>
          <w:lang w:eastAsia="zh-CN"/>
        </w:rPr>
        <w:t>价格挂钩，随</w:t>
      </w:r>
      <w:r>
        <w:rPr>
          <w:rFonts w:hint="eastAsia" w:ascii="Times New Roman" w:hAnsi="Times New Roman" w:eastAsia="仿宋" w:cs="Times New Roman"/>
          <w:color w:val="auto"/>
          <w:sz w:val="32"/>
          <w:szCs w:val="32"/>
          <w:highlight w:val="none"/>
          <w:lang w:val="en-US" w:eastAsia="zh-CN"/>
        </w:rPr>
        <w:t>一次能源</w:t>
      </w:r>
      <w:r>
        <w:rPr>
          <w:rFonts w:hint="default" w:ascii="Times New Roman" w:hAnsi="Times New Roman" w:eastAsia="仿宋" w:cs="Times New Roman"/>
          <w:color w:val="auto"/>
          <w:sz w:val="32"/>
          <w:szCs w:val="32"/>
          <w:highlight w:val="none"/>
          <w:lang w:eastAsia="zh-CN"/>
        </w:rPr>
        <w:t>价格变动而上下浮动的价格</w:t>
      </w:r>
      <w:r>
        <w:rPr>
          <w:rFonts w:hint="eastAsia" w:ascii="Times New Roman" w:hAnsi="Times New Roman" w:eastAsia="仿宋" w:cs="Times New Roman"/>
          <w:color w:val="auto"/>
          <w:sz w:val="32"/>
          <w:szCs w:val="32"/>
          <w:highlight w:val="none"/>
        </w:rPr>
        <w:t>。</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浮动电费</w:t>
      </w:r>
      <w:r>
        <w:rPr>
          <w:rFonts w:hint="eastAsia" w:ascii="Times New Roman" w:hAnsi="Times New Roman" w:eastAsia="仿宋" w:cs="Times New Roman"/>
          <w:color w:val="auto"/>
          <w:sz w:val="32"/>
          <w:szCs w:val="32"/>
          <w:highlight w:val="none"/>
          <w:lang w:val="en-US" w:eastAsia="zh-CN"/>
        </w:rPr>
        <w:t>电价</w:t>
      </w:r>
      <w:r>
        <w:rPr>
          <w:rFonts w:hint="default" w:ascii="Times New Roman" w:hAnsi="Times New Roman" w:eastAsia="仿宋" w:cs="Times New Roman"/>
          <w:color w:val="auto"/>
          <w:sz w:val="32"/>
          <w:szCs w:val="32"/>
          <w:highlight w:val="none"/>
          <w:lang w:eastAsia="zh-CN"/>
        </w:rPr>
        <w:t>是指零售用户</w:t>
      </w:r>
      <w:r>
        <w:rPr>
          <w:rFonts w:hint="default" w:ascii="Times New Roman" w:hAnsi="Times New Roman" w:eastAsia="仿宋" w:cs="Times New Roman"/>
          <w:color w:val="auto"/>
          <w:sz w:val="32"/>
          <w:szCs w:val="32"/>
          <w:highlight w:val="none"/>
          <w:lang w:val="en-US" w:eastAsia="zh-CN"/>
        </w:rPr>
        <w:t>与</w:t>
      </w:r>
      <w:r>
        <w:rPr>
          <w:rFonts w:hint="default" w:ascii="Times New Roman" w:hAnsi="Times New Roman" w:eastAsia="仿宋" w:cs="Times New Roman"/>
          <w:color w:val="auto"/>
          <w:sz w:val="32"/>
          <w:szCs w:val="32"/>
          <w:highlight w:val="none"/>
          <w:lang w:eastAsia="zh-CN"/>
        </w:rPr>
        <w:t>售电公司</w:t>
      </w:r>
      <w:r>
        <w:rPr>
          <w:rFonts w:hint="default" w:ascii="Times New Roman" w:hAnsi="Times New Roman" w:eastAsia="仿宋" w:cs="Times New Roman"/>
          <w:color w:val="auto"/>
          <w:sz w:val="32"/>
          <w:szCs w:val="32"/>
          <w:highlight w:val="none"/>
          <w:lang w:val="en-US" w:eastAsia="zh-CN"/>
        </w:rPr>
        <w:t>双方协商确定</w:t>
      </w:r>
      <w:r>
        <w:rPr>
          <w:rFonts w:hint="default" w:ascii="Times New Roman" w:hAnsi="Times New Roman" w:eastAsia="仿宋" w:cs="Times New Roman"/>
          <w:color w:val="auto"/>
          <w:sz w:val="32"/>
          <w:szCs w:val="32"/>
          <w:highlight w:val="none"/>
        </w:rPr>
        <w:t>的对全电量</w:t>
      </w:r>
      <w:r>
        <w:rPr>
          <w:rFonts w:hint="default" w:ascii="Times New Roman" w:hAnsi="Times New Roman" w:eastAsia="仿宋" w:cs="Times New Roman"/>
          <w:color w:val="auto"/>
          <w:sz w:val="32"/>
          <w:szCs w:val="32"/>
          <w:highlight w:val="none"/>
          <w:lang w:val="en-US" w:eastAsia="zh-CN"/>
        </w:rPr>
        <w:t>上浮或下降</w:t>
      </w:r>
      <w:r>
        <w:rPr>
          <w:rFonts w:hint="default" w:ascii="Times New Roman" w:hAnsi="Times New Roman" w:eastAsia="仿宋" w:cs="Times New Roman"/>
          <w:color w:val="auto"/>
          <w:sz w:val="32"/>
          <w:szCs w:val="32"/>
          <w:highlight w:val="none"/>
        </w:rPr>
        <w:t>固定单价的价格</w:t>
      </w:r>
      <w:r>
        <w:rPr>
          <w:rFonts w:hint="eastAsia" w:ascii="Times New Roman" w:hAnsi="Times New Roman" w:eastAsia="仿宋" w:cs="Times New Roman"/>
          <w:color w:val="auto"/>
          <w:sz w:val="32"/>
          <w:szCs w:val="32"/>
          <w:highlight w:val="none"/>
          <w:lang w:val="en-US" w:eastAsia="zh-CN"/>
        </w:rPr>
        <w:t>形式</w:t>
      </w:r>
      <w:r>
        <w:rPr>
          <w:rFonts w:hint="default" w:ascii="Times New Roman" w:hAnsi="Times New Roman" w:eastAsia="仿宋" w:cs="Times New Roman"/>
          <w:color w:val="auto"/>
          <w:sz w:val="32"/>
          <w:szCs w:val="32"/>
          <w:highlight w:val="none"/>
          <w:lang w:eastAsia="zh-CN"/>
        </w:rPr>
        <w:t>。</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4.绿电环境溢价</w:t>
      </w:r>
      <w:r>
        <w:rPr>
          <w:rFonts w:hint="eastAsia" w:ascii="Times New Roman" w:hAnsi="Times New Roman" w:eastAsia="仿宋" w:cs="Times New Roman"/>
          <w:color w:val="auto"/>
          <w:sz w:val="32"/>
          <w:szCs w:val="32"/>
          <w:highlight w:val="none"/>
        </w:rPr>
        <w:t>是</w:t>
      </w:r>
      <w:r>
        <w:rPr>
          <w:rFonts w:hint="eastAsia" w:ascii="Times New Roman" w:hAnsi="Times New Roman" w:eastAsia="仿宋" w:cs="Times New Roman"/>
          <w:color w:val="auto"/>
          <w:sz w:val="32"/>
          <w:szCs w:val="32"/>
          <w:highlight w:val="none"/>
          <w:lang w:val="en-US" w:eastAsia="zh-CN"/>
        </w:rPr>
        <w:t>指</w:t>
      </w:r>
      <w:r>
        <w:rPr>
          <w:rFonts w:hint="eastAsia" w:ascii="Times New Roman" w:hAnsi="Times New Roman" w:eastAsia="仿宋" w:cs="Times New Roman"/>
          <w:color w:val="auto"/>
          <w:sz w:val="32"/>
          <w:szCs w:val="32"/>
          <w:highlight w:val="none"/>
        </w:rPr>
        <w:t>绿色电力的环境属性价值</w:t>
      </w:r>
      <w:r>
        <w:rPr>
          <w:rFonts w:hint="eastAsia" w:ascii="Times New Roman" w:hAnsi="Times New Roman" w:eastAsia="仿宋" w:cs="Times New Roman"/>
          <w:color w:val="auto"/>
          <w:sz w:val="32"/>
          <w:szCs w:val="32"/>
          <w:highlight w:val="none"/>
          <w:lang w:eastAsia="zh-CN"/>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套餐设计原则</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套餐设计</w:t>
      </w:r>
      <w:r>
        <w:rPr>
          <w:rFonts w:hint="default" w:ascii="Times New Roman" w:hAnsi="Times New Roman" w:eastAsia="仿宋" w:cs="Times New Roman"/>
          <w:color w:val="auto"/>
          <w:sz w:val="32"/>
          <w:szCs w:val="32"/>
          <w:highlight w:val="none"/>
        </w:rPr>
        <w:t>遵循</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公平合理、风险可控、清晰易懂、动态评估</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的主要原则：</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零售套餐框架</w:t>
      </w:r>
      <w:r>
        <w:rPr>
          <w:rFonts w:hint="default" w:ascii="Times New Roman" w:hAnsi="Times New Roman" w:eastAsia="仿宋" w:cs="Times New Roman"/>
          <w:color w:val="auto"/>
          <w:sz w:val="32"/>
          <w:szCs w:val="32"/>
          <w:highlight w:val="none"/>
          <w:lang w:val="en-US" w:eastAsia="zh-CN"/>
        </w:rPr>
        <w:t>按普遍适用原则</w:t>
      </w:r>
      <w:r>
        <w:rPr>
          <w:rFonts w:hint="default" w:ascii="Times New Roman" w:hAnsi="Times New Roman" w:eastAsia="仿宋" w:cs="Times New Roman"/>
          <w:color w:val="auto"/>
          <w:sz w:val="32"/>
          <w:szCs w:val="32"/>
          <w:highlight w:val="none"/>
        </w:rPr>
        <w:t>由</w:t>
      </w:r>
      <w:r>
        <w:rPr>
          <w:rFonts w:hint="eastAsia"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统一设计，各类术语应使用清晰易懂</w:t>
      </w:r>
      <w:r>
        <w:rPr>
          <w:rFonts w:hint="eastAsia"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标准名称结构</w:t>
      </w:r>
      <w:r>
        <w:rPr>
          <w:rFonts w:hint="eastAsia"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格式和条款。</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套餐</w:t>
      </w:r>
      <w:r>
        <w:rPr>
          <w:rFonts w:hint="eastAsia" w:hAnsi="Times New Roman" w:eastAsia="仿宋" w:cs="Times New Roman"/>
          <w:color w:val="auto"/>
          <w:sz w:val="32"/>
          <w:szCs w:val="32"/>
          <w:highlight w:val="none"/>
          <w:lang w:val="en-US" w:eastAsia="zh-CN"/>
        </w:rPr>
        <w:t>至少包含合约电量、合约电价、交易双方的权利和义务、合约时间等关键信息，套餐</w:t>
      </w:r>
      <w:r>
        <w:rPr>
          <w:rFonts w:hint="default" w:ascii="Times New Roman" w:hAnsi="Times New Roman" w:eastAsia="仿宋" w:cs="Times New Roman"/>
          <w:color w:val="auto"/>
          <w:sz w:val="32"/>
          <w:szCs w:val="32"/>
          <w:highlight w:val="none"/>
          <w:lang w:eastAsia="zh-CN"/>
        </w:rPr>
        <w:t>设计须容易计算、容易区分，形成零售平台可固化的电费计算模型。</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零售套餐以自然月为最小</w:t>
      </w:r>
      <w:r>
        <w:rPr>
          <w:rFonts w:hint="eastAsia" w:hAnsi="Times New Roman" w:eastAsia="仿宋" w:cs="Times New Roman"/>
          <w:color w:val="auto"/>
          <w:sz w:val="32"/>
          <w:szCs w:val="32"/>
          <w:highlight w:val="none"/>
          <w:lang w:val="en-US" w:eastAsia="zh-CN"/>
        </w:rPr>
        <w:t>交易周期</w:t>
      </w:r>
      <w:r>
        <w:rPr>
          <w:rFonts w:hint="default" w:ascii="Times New Roman" w:hAnsi="Times New Roman" w:eastAsia="仿宋" w:cs="Times New Roman"/>
          <w:color w:val="auto"/>
          <w:sz w:val="32"/>
          <w:szCs w:val="32"/>
          <w:highlight w:val="none"/>
          <w:lang w:eastAsia="zh-CN"/>
        </w:rPr>
        <w:t>明确套餐生效时间及终止时间，套餐有效期不超过1</w:t>
      </w:r>
      <w:r>
        <w:rPr>
          <w:rFonts w:hint="eastAsia" w:hAnsi="Times New Roman" w:eastAsia="仿宋" w:cs="Times New Roman"/>
          <w:color w:val="auto"/>
          <w:sz w:val="32"/>
          <w:szCs w:val="32"/>
          <w:highlight w:val="none"/>
          <w:lang w:val="en-US" w:eastAsia="zh-CN"/>
        </w:rPr>
        <w:t>个自然</w:t>
      </w:r>
      <w:r>
        <w:rPr>
          <w:rFonts w:hint="default" w:ascii="Times New Roman" w:hAnsi="Times New Roman" w:eastAsia="仿宋" w:cs="Times New Roman"/>
          <w:color w:val="auto"/>
          <w:sz w:val="32"/>
          <w:szCs w:val="32"/>
          <w:highlight w:val="none"/>
          <w:lang w:eastAsia="zh-CN"/>
        </w:rPr>
        <w:t>年。</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零售套餐</w:t>
      </w:r>
      <w:r>
        <w:rPr>
          <w:rFonts w:hint="eastAsia" w:hAnsi="Times New Roman" w:eastAsia="仿宋" w:cs="Times New Roman"/>
          <w:color w:val="auto"/>
          <w:sz w:val="32"/>
          <w:szCs w:val="32"/>
          <w:highlight w:val="none"/>
          <w:lang w:val="en-US" w:eastAsia="zh-CN"/>
        </w:rPr>
        <w:t>价格</w:t>
      </w:r>
      <w:r>
        <w:rPr>
          <w:rFonts w:hint="default" w:ascii="Times New Roman" w:hAnsi="Times New Roman" w:eastAsia="仿宋" w:cs="Times New Roman"/>
          <w:color w:val="auto"/>
          <w:sz w:val="32"/>
          <w:szCs w:val="32"/>
          <w:highlight w:val="none"/>
          <w:lang w:eastAsia="zh-CN"/>
        </w:rPr>
        <w:t>至少</w:t>
      </w:r>
      <w:r>
        <w:rPr>
          <w:rFonts w:hint="eastAsia" w:hAnsi="Times New Roman" w:eastAsia="仿宋" w:cs="Times New Roman"/>
          <w:color w:val="auto"/>
          <w:sz w:val="32"/>
          <w:szCs w:val="32"/>
          <w:highlight w:val="none"/>
          <w:lang w:val="en-US" w:eastAsia="zh-CN"/>
        </w:rPr>
        <w:t>按</w:t>
      </w:r>
      <w:r>
        <w:rPr>
          <w:rFonts w:hint="default" w:ascii="Times New Roman" w:hAnsi="Times New Roman" w:eastAsia="仿宋" w:cs="Times New Roman"/>
          <w:color w:val="auto"/>
          <w:sz w:val="32"/>
          <w:szCs w:val="32"/>
          <w:highlight w:val="none"/>
          <w:lang w:eastAsia="zh-CN"/>
        </w:rPr>
        <w:t>峰平谷三个</w:t>
      </w:r>
      <w:r>
        <w:rPr>
          <w:rFonts w:hint="eastAsia" w:hAnsi="Times New Roman" w:eastAsia="仿宋" w:cs="Times New Roman"/>
          <w:color w:val="auto"/>
          <w:sz w:val="32"/>
          <w:szCs w:val="32"/>
          <w:highlight w:val="none"/>
          <w:lang w:val="en-US" w:eastAsia="zh-CN"/>
        </w:rPr>
        <w:t>区</w:t>
      </w:r>
      <w:r>
        <w:rPr>
          <w:rFonts w:hint="default" w:ascii="Times New Roman" w:hAnsi="Times New Roman" w:eastAsia="仿宋" w:cs="Times New Roman"/>
          <w:color w:val="auto"/>
          <w:sz w:val="32"/>
          <w:szCs w:val="32"/>
          <w:highlight w:val="none"/>
          <w:lang w:eastAsia="zh-CN"/>
        </w:rPr>
        <w:t>段</w:t>
      </w:r>
      <w:r>
        <w:rPr>
          <w:rFonts w:hint="eastAsia" w:hAnsi="Times New Roman" w:eastAsia="仿宋" w:cs="Times New Roman"/>
          <w:color w:val="auto"/>
          <w:sz w:val="32"/>
          <w:szCs w:val="32"/>
          <w:highlight w:val="none"/>
          <w:lang w:val="en-US" w:eastAsia="zh-CN"/>
        </w:rPr>
        <w:t>分别约定，具备条件时可以进一步细化到小时；</w:t>
      </w:r>
      <w:r>
        <w:rPr>
          <w:rFonts w:hint="default" w:ascii="Times New Roman" w:hAnsi="Times New Roman" w:eastAsia="仿宋" w:cs="Times New Roman"/>
          <w:color w:val="auto"/>
          <w:sz w:val="32"/>
          <w:szCs w:val="32"/>
          <w:highlight w:val="none"/>
          <w:lang w:eastAsia="zh-CN"/>
        </w:rPr>
        <w:t>峰平谷价格比例</w:t>
      </w:r>
      <w:r>
        <w:rPr>
          <w:rFonts w:hint="eastAsia" w:hAnsi="Times New Roman" w:eastAsia="仿宋" w:cs="Times New Roman"/>
          <w:color w:val="auto"/>
          <w:sz w:val="32"/>
          <w:szCs w:val="32"/>
          <w:highlight w:val="none"/>
          <w:lang w:eastAsia="zh-CN"/>
        </w:rPr>
        <w:t>、</w:t>
      </w:r>
      <w:r>
        <w:rPr>
          <w:rFonts w:hint="eastAsia" w:hAnsi="Times New Roman" w:eastAsia="仿宋" w:cs="Times New Roman"/>
          <w:color w:val="auto"/>
          <w:sz w:val="32"/>
          <w:szCs w:val="32"/>
          <w:highlight w:val="none"/>
          <w:lang w:val="en-US" w:eastAsia="zh-CN"/>
        </w:rPr>
        <w:t>尖峰电价上浮比例须满足</w:t>
      </w:r>
      <w:r>
        <w:rPr>
          <w:rFonts w:hint="default" w:ascii="Times New Roman" w:hAnsi="Times New Roman" w:eastAsia="仿宋" w:cs="Times New Roman"/>
          <w:color w:val="auto"/>
          <w:sz w:val="32"/>
          <w:szCs w:val="32"/>
          <w:highlight w:val="none"/>
          <w:lang w:eastAsia="zh-CN"/>
        </w:rPr>
        <w:t>政府</w:t>
      </w:r>
      <w:r>
        <w:rPr>
          <w:rFonts w:hint="eastAsia" w:hAnsi="Times New Roman" w:eastAsia="仿宋" w:cs="Times New Roman"/>
          <w:color w:val="auto"/>
          <w:sz w:val="32"/>
          <w:szCs w:val="32"/>
          <w:highlight w:val="none"/>
          <w:lang w:val="en-US" w:eastAsia="zh-CN"/>
        </w:rPr>
        <w:t>相关要求。</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根据市场实际运行情况制定并发布零售套餐的相关</w:t>
      </w:r>
      <w:r>
        <w:rPr>
          <w:rFonts w:hint="eastAsia" w:hAnsi="Times New Roman" w:eastAsia="仿宋" w:cs="Times New Roman"/>
          <w:color w:val="auto"/>
          <w:sz w:val="32"/>
          <w:szCs w:val="32"/>
          <w:highlight w:val="none"/>
          <w:lang w:val="en-US" w:eastAsia="zh-CN"/>
        </w:rPr>
        <w:t>管理</w:t>
      </w:r>
      <w:r>
        <w:rPr>
          <w:rFonts w:hint="default" w:ascii="Times New Roman" w:hAnsi="Times New Roman" w:eastAsia="仿宋" w:cs="Times New Roman"/>
          <w:color w:val="auto"/>
          <w:sz w:val="32"/>
          <w:szCs w:val="32"/>
          <w:highlight w:val="none"/>
          <w:lang w:eastAsia="zh-CN"/>
        </w:rPr>
        <w:t>参数。零售套餐</w:t>
      </w:r>
      <w:r>
        <w:rPr>
          <w:rFonts w:hint="eastAsia" w:hAnsi="Times New Roman" w:eastAsia="仿宋" w:cs="Times New Roman"/>
          <w:color w:val="auto"/>
          <w:sz w:val="32"/>
          <w:szCs w:val="32"/>
          <w:highlight w:val="none"/>
          <w:lang w:val="en-US" w:eastAsia="zh-CN"/>
        </w:rPr>
        <w:t>管理</w:t>
      </w:r>
      <w:r>
        <w:rPr>
          <w:rFonts w:hint="default" w:ascii="Times New Roman" w:hAnsi="Times New Roman" w:eastAsia="仿宋" w:cs="Times New Roman"/>
          <w:color w:val="auto"/>
          <w:sz w:val="32"/>
          <w:szCs w:val="32"/>
          <w:highlight w:val="none"/>
          <w:lang w:eastAsia="zh-CN"/>
        </w:rPr>
        <w:t>参数包括价格</w:t>
      </w:r>
      <w:r>
        <w:rPr>
          <w:rFonts w:hint="default" w:ascii="Times New Roman" w:hAnsi="Times New Roman" w:eastAsia="仿宋" w:cs="Times New Roman"/>
          <w:color w:val="auto"/>
          <w:sz w:val="32"/>
          <w:szCs w:val="32"/>
          <w:highlight w:val="none"/>
          <w:lang w:val="en-US" w:eastAsia="zh-CN"/>
        </w:rPr>
        <w:t>阈值</w:t>
      </w:r>
      <w:r>
        <w:rPr>
          <w:rFonts w:hint="eastAsia"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市场价格联动类型</w:t>
      </w:r>
      <w:r>
        <w:rPr>
          <w:rFonts w:hint="eastAsia"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lang w:eastAsia="zh-CN"/>
        </w:rPr>
        <w:t>比例</w:t>
      </w:r>
      <w:r>
        <w:rPr>
          <w:rFonts w:hint="eastAsia"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零售套餐适用范围分类等。</w:t>
      </w:r>
    </w:p>
    <w:p>
      <w:pPr>
        <w:pStyle w:val="36"/>
        <w:pageBreakBefore w:val="0"/>
        <w:numPr>
          <w:ilvl w:val="0"/>
          <w:numId w:val="17"/>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售电公司</w:t>
      </w:r>
      <w:r>
        <w:rPr>
          <w:rFonts w:hint="eastAsia" w:hAnsi="Times New Roman" w:eastAsia="仿宋_GB2312" w:cs="Times New Roman"/>
          <w:color w:val="auto"/>
          <w:sz w:val="32"/>
          <w:szCs w:val="32"/>
          <w:highlight w:val="none"/>
          <w:lang w:val="en-US" w:eastAsia="zh-CN"/>
        </w:rPr>
        <w:t>应做好适当性管理</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根据用户的不同分类，对其适合接受的</w:t>
      </w:r>
      <w:r>
        <w:rPr>
          <w:rFonts w:hint="eastAsia" w:hAnsi="Times New Roman" w:eastAsia="仿宋" w:cs="Times New Roman"/>
          <w:color w:val="auto"/>
          <w:sz w:val="32"/>
          <w:szCs w:val="32"/>
          <w:highlight w:val="none"/>
          <w:lang w:val="en-US" w:eastAsia="zh-CN"/>
        </w:rPr>
        <w:t>售电套餐</w:t>
      </w:r>
      <w:r>
        <w:rPr>
          <w:rFonts w:hint="eastAsia" w:ascii="Times New Roman" w:hAnsi="Times New Roman" w:eastAsia="仿宋" w:cs="Times New Roman"/>
          <w:color w:val="auto"/>
          <w:sz w:val="32"/>
          <w:szCs w:val="32"/>
          <w:highlight w:val="none"/>
          <w:lang w:val="en-US" w:eastAsia="zh-CN"/>
        </w:rPr>
        <w:t>服务做出判断，</w:t>
      </w:r>
      <w:r>
        <w:rPr>
          <w:rFonts w:hint="default" w:ascii="Times New Roman" w:hAnsi="Times New Roman" w:eastAsia="仿宋_GB2312" w:cs="Times New Roman"/>
          <w:color w:val="auto"/>
          <w:sz w:val="32"/>
          <w:szCs w:val="32"/>
          <w:highlight w:val="none"/>
          <w:lang w:eastAsia="zh-CN"/>
        </w:rPr>
        <w:t>将适当的</w:t>
      </w:r>
      <w:r>
        <w:rPr>
          <w:rFonts w:hint="eastAsia" w:eastAsia="仿宋_GB2312" w:cs="Times New Roman"/>
          <w:color w:val="auto"/>
          <w:sz w:val="32"/>
          <w:szCs w:val="32"/>
          <w:highlight w:val="none"/>
          <w:lang w:val="en-US" w:eastAsia="zh-CN"/>
        </w:rPr>
        <w:t>零售套餐</w:t>
      </w:r>
      <w:r>
        <w:rPr>
          <w:rFonts w:hint="default" w:ascii="Times New Roman" w:hAnsi="Times New Roman" w:eastAsia="仿宋_GB2312" w:cs="Times New Roman"/>
          <w:color w:val="auto"/>
          <w:sz w:val="32"/>
          <w:szCs w:val="32"/>
          <w:highlight w:val="none"/>
          <w:lang w:eastAsia="zh-CN"/>
        </w:rPr>
        <w:t>提供给适合的</w:t>
      </w:r>
      <w:r>
        <w:rPr>
          <w:rFonts w:hint="eastAsia" w:eastAsia="仿宋_GB2312" w:cs="Times New Roman"/>
          <w:color w:val="auto"/>
          <w:sz w:val="32"/>
          <w:szCs w:val="32"/>
          <w:highlight w:val="none"/>
          <w:lang w:val="en-US" w:eastAsia="zh-CN"/>
        </w:rPr>
        <w:t>零售用户。售电公司向</w:t>
      </w:r>
      <w:r>
        <w:rPr>
          <w:rFonts w:hint="default" w:ascii="Times New Roman" w:hAnsi="Times New Roman" w:eastAsia="仿宋" w:cs="Times New Roman"/>
          <w:color w:val="auto"/>
          <w:sz w:val="32"/>
          <w:szCs w:val="32"/>
          <w:highlight w:val="none"/>
          <w:lang w:val="en-US" w:eastAsia="zh-CN"/>
        </w:rPr>
        <w:t>小型用户</w:t>
      </w:r>
      <w:r>
        <w:rPr>
          <w:rFonts w:hint="eastAsia" w:hAnsi="Times New Roman" w:eastAsia="仿宋" w:cs="Times New Roman"/>
          <w:color w:val="auto"/>
          <w:sz w:val="32"/>
          <w:szCs w:val="32"/>
          <w:highlight w:val="none"/>
          <w:lang w:val="en-US" w:eastAsia="zh-CN"/>
        </w:rPr>
        <w:t>售电，可提供</w:t>
      </w:r>
      <w:r>
        <w:rPr>
          <w:rFonts w:hint="default" w:ascii="Times New Roman" w:hAnsi="Times New Roman" w:eastAsia="仿宋" w:cs="Times New Roman"/>
          <w:color w:val="auto"/>
          <w:sz w:val="32"/>
          <w:szCs w:val="32"/>
          <w:highlight w:val="none"/>
          <w:lang w:eastAsia="zh-CN"/>
        </w:rPr>
        <w:t>固定</w:t>
      </w:r>
      <w:r>
        <w:rPr>
          <w:rFonts w:hint="default" w:ascii="Times New Roman" w:hAnsi="Times New Roman" w:eastAsia="仿宋" w:cs="Times New Roman"/>
          <w:color w:val="auto"/>
          <w:sz w:val="32"/>
          <w:szCs w:val="32"/>
          <w:highlight w:val="none"/>
          <w:lang w:val="en-US" w:eastAsia="zh-CN"/>
        </w:rPr>
        <w:t>价格</w:t>
      </w:r>
      <w:r>
        <w:rPr>
          <w:rFonts w:hint="eastAsia" w:ascii="Times New Roman" w:hAnsi="Times New Roman" w:eastAsia="仿宋" w:cs="Times New Roman"/>
          <w:color w:val="auto"/>
          <w:sz w:val="32"/>
          <w:szCs w:val="32"/>
          <w:highlight w:val="none"/>
          <w:lang w:val="en-US" w:eastAsia="zh-CN"/>
        </w:rPr>
        <w:t>套餐或基于100%联动</w:t>
      </w:r>
      <w:r>
        <w:rPr>
          <w:rFonts w:hint="eastAsia" w:hAnsi="Times New Roman" w:eastAsia="仿宋" w:cs="Times New Roman"/>
          <w:color w:val="auto"/>
          <w:sz w:val="32"/>
          <w:szCs w:val="32"/>
          <w:highlight w:val="none"/>
          <w:lang w:val="en-US" w:eastAsia="zh-CN"/>
        </w:rPr>
        <w:t>电力市场月度加权平均价格</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eastAsia="zh-CN"/>
        </w:rPr>
        <w:t>套餐</w:t>
      </w:r>
      <w:r>
        <w:rPr>
          <w:rFonts w:hint="eastAsia"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套餐配置</w:t>
      </w:r>
      <w:r>
        <w:rPr>
          <w:rFonts w:hint="eastAsia" w:ascii="Times New Roman" w:hAnsi="Times New Roman" w:eastAsia="仿宋" w:cs="Times New Roman"/>
          <w:color w:val="auto"/>
          <w:sz w:val="32"/>
          <w:szCs w:val="32"/>
          <w:highlight w:val="none"/>
          <w:lang w:val="en-US" w:eastAsia="zh-CN"/>
        </w:rPr>
        <w:t>方式</w:t>
      </w:r>
      <w:r>
        <w:rPr>
          <w:rFonts w:hint="default" w:ascii="Times New Roman" w:hAnsi="Times New Roman" w:eastAsia="仿宋" w:cs="Times New Roman"/>
          <w:color w:val="auto"/>
          <w:sz w:val="32"/>
          <w:szCs w:val="32"/>
          <w:highlight w:val="none"/>
        </w:rPr>
        <w:t>]售电公司根据</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设计的零售套餐框架，灵活配置相关</w:t>
      </w:r>
      <w:r>
        <w:rPr>
          <w:rFonts w:hint="eastAsia" w:ascii="Times New Roman" w:hAnsi="Times New Roman" w:eastAsia="仿宋" w:cs="Times New Roman"/>
          <w:color w:val="auto"/>
          <w:sz w:val="32"/>
          <w:szCs w:val="32"/>
          <w:highlight w:val="none"/>
          <w:lang w:val="en-US" w:eastAsia="zh-CN"/>
        </w:rPr>
        <w:t>模式、</w:t>
      </w:r>
      <w:r>
        <w:rPr>
          <w:rFonts w:hint="default" w:ascii="Times New Roman" w:hAnsi="Times New Roman" w:eastAsia="仿宋" w:cs="Times New Roman"/>
          <w:color w:val="auto"/>
          <w:sz w:val="32"/>
          <w:szCs w:val="32"/>
          <w:highlight w:val="none"/>
        </w:rPr>
        <w:t>参数形成零售套餐，并通过零售平台公开上架或向</w:t>
      </w:r>
      <w:r>
        <w:rPr>
          <w:rFonts w:hint="eastAsia" w:ascii="Times New Roman" w:hAnsi="Times New Roman" w:eastAsia="仿宋" w:cs="Times New Roman"/>
          <w:color w:val="auto"/>
          <w:sz w:val="32"/>
          <w:szCs w:val="32"/>
          <w:highlight w:val="none"/>
          <w:lang w:val="en-US" w:eastAsia="zh-CN"/>
        </w:rPr>
        <w:t>有意向</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零售用户</w:t>
      </w:r>
      <w:r>
        <w:rPr>
          <w:rFonts w:hint="default" w:ascii="Times New Roman" w:hAnsi="Times New Roman" w:eastAsia="仿宋" w:cs="Times New Roman"/>
          <w:color w:val="auto"/>
          <w:sz w:val="32"/>
          <w:szCs w:val="32"/>
          <w:highlight w:val="none"/>
        </w:rPr>
        <w:t>发布。</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64" w:name="_Toc32429"/>
      <w:bookmarkStart w:id="65" w:name="_Toc6079"/>
      <w:bookmarkStart w:id="66" w:name="_Toc21112"/>
      <w:bookmarkStart w:id="67" w:name="_Toc16785"/>
      <w:bookmarkStart w:id="68" w:name="_Toc13933"/>
      <w:bookmarkStart w:id="69" w:name="_Toc3228"/>
      <w:bookmarkStart w:id="70" w:name="_Toc104490861"/>
      <w:bookmarkStart w:id="71" w:name="_Toc10854"/>
      <w:bookmarkStart w:id="72" w:name="_Toc19615"/>
      <w:bookmarkStart w:id="73" w:name="_Toc1888"/>
      <w:bookmarkStart w:id="74" w:name="_Toc103787844"/>
      <w:bookmarkStart w:id="75" w:name="_Toc20027"/>
      <w:r>
        <w:rPr>
          <w:rFonts w:hint="default" w:ascii="黑体" w:hAnsi="黑体" w:eastAsia="黑体" w:cs="黑体"/>
          <w:b w:val="0"/>
          <w:bCs w:val="0"/>
          <w:color w:val="auto"/>
          <w:sz w:val="32"/>
          <w:szCs w:val="32"/>
          <w:highlight w:val="none"/>
        </w:rPr>
        <w:t>零售交易</w:t>
      </w:r>
      <w:bookmarkEnd w:id="64"/>
      <w:bookmarkEnd w:id="65"/>
      <w:bookmarkEnd w:id="66"/>
      <w:bookmarkEnd w:id="67"/>
      <w:bookmarkEnd w:id="68"/>
      <w:bookmarkEnd w:id="69"/>
      <w:bookmarkEnd w:id="70"/>
      <w:bookmarkEnd w:id="71"/>
      <w:bookmarkEnd w:id="72"/>
      <w:bookmarkEnd w:id="73"/>
      <w:bookmarkEnd w:id="74"/>
      <w:bookmarkEnd w:id="75"/>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[交易原则]在一个交易周期内，零售用户只能向一家售电公司购电、</w:t>
      </w:r>
      <w:r>
        <w:rPr>
          <w:rFonts w:hint="default" w:ascii="Times New Roman" w:hAnsi="Times New Roman" w:eastAsia="仿宋" w:cs="Times New Roman"/>
          <w:color w:val="auto"/>
          <w:sz w:val="32"/>
          <w:szCs w:val="32"/>
          <w:highlight w:val="none"/>
          <w:lang w:val="en-US" w:eastAsia="zh-CN"/>
        </w:rPr>
        <w:t>登记</w:t>
      </w:r>
      <w:r>
        <w:rPr>
          <w:rFonts w:hint="default" w:ascii="Times New Roman" w:hAnsi="Times New Roman" w:eastAsia="仿宋" w:cs="Times New Roman"/>
          <w:color w:val="auto"/>
          <w:sz w:val="32"/>
          <w:szCs w:val="32"/>
          <w:highlight w:val="none"/>
        </w:rPr>
        <w:t>零售</w:t>
      </w:r>
      <w:r>
        <w:rPr>
          <w:rFonts w:hint="default" w:ascii="Times New Roman" w:hAnsi="Times New Roman" w:eastAsia="仿宋" w:cs="Times New Roman"/>
          <w:color w:val="auto"/>
          <w:sz w:val="32"/>
          <w:szCs w:val="32"/>
          <w:highlight w:val="none"/>
          <w:lang w:val="en-US" w:eastAsia="zh-CN"/>
        </w:rPr>
        <w:t>合同</w:t>
      </w:r>
      <w:r>
        <w:rPr>
          <w:rFonts w:hint="default" w:ascii="Times New Roman" w:hAnsi="Times New Roman" w:eastAsia="仿宋" w:cs="Times New Roman"/>
          <w:color w:val="auto"/>
          <w:sz w:val="32"/>
          <w:szCs w:val="32"/>
          <w:highlight w:val="none"/>
        </w:rPr>
        <w:t>，且全部电量均通过该售电公司购买。</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交易方式]交易方式</w:t>
      </w:r>
      <w:r>
        <w:rPr>
          <w:rFonts w:hint="eastAsia" w:ascii="Times New Roman" w:hAnsi="Times New Roman" w:eastAsia="仿宋" w:cs="Times New Roman"/>
          <w:color w:val="auto"/>
          <w:sz w:val="32"/>
          <w:szCs w:val="32"/>
          <w:highlight w:val="none"/>
          <w:lang w:val="en-US" w:eastAsia="zh-CN"/>
        </w:rPr>
        <w:t>可采取</w:t>
      </w:r>
      <w:r>
        <w:rPr>
          <w:rFonts w:hint="default" w:ascii="Times New Roman" w:hAnsi="Times New Roman" w:eastAsia="仿宋" w:cs="Times New Roman"/>
          <w:color w:val="auto"/>
          <w:sz w:val="32"/>
          <w:szCs w:val="32"/>
          <w:highlight w:val="none"/>
        </w:rPr>
        <w:t>挂牌交易、邀约交易</w:t>
      </w:r>
      <w:r>
        <w:rPr>
          <w:rFonts w:hint="eastAsia" w:ascii="Times New Roman" w:hAnsi="Times New Roman" w:eastAsia="仿宋" w:cs="Times New Roman"/>
          <w:color w:val="auto"/>
          <w:sz w:val="32"/>
          <w:szCs w:val="32"/>
          <w:highlight w:val="none"/>
          <w:lang w:val="en-US" w:eastAsia="zh-CN"/>
        </w:rPr>
        <w:t>、线下协商线上签约</w:t>
      </w:r>
      <w:r>
        <w:rPr>
          <w:rFonts w:hint="default" w:ascii="Times New Roman" w:hAnsi="Times New Roman" w:eastAsia="仿宋" w:cs="Times New Roman"/>
          <w:color w:val="auto"/>
          <w:sz w:val="32"/>
          <w:szCs w:val="32"/>
          <w:highlight w:val="none"/>
          <w:lang w:val="en-US" w:eastAsia="zh-CN"/>
        </w:rPr>
        <w:t>等方式</w:t>
      </w:r>
      <w:r>
        <w:rPr>
          <w:rFonts w:hint="default" w:ascii="Times New Roman" w:hAnsi="Times New Roman" w:eastAsia="仿宋" w:cs="Times New Roman"/>
          <w:color w:val="auto"/>
          <w:sz w:val="32"/>
          <w:szCs w:val="32"/>
          <w:highlight w:val="none"/>
        </w:rPr>
        <w:t>。</w:t>
      </w:r>
    </w:p>
    <w:p>
      <w:pPr>
        <w:pStyle w:val="36"/>
        <w:pageBreakBefore w:val="0"/>
        <w:numPr>
          <w:ilvl w:val="0"/>
          <w:numId w:val="18"/>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挂牌交易是指由售电公司配置套餐，零售用户自主选购的交易方式，交易过程包括</w:t>
      </w:r>
      <w:r>
        <w:rPr>
          <w:rFonts w:hint="eastAsia" w:hAnsi="Times New Roman" w:eastAsia="仿宋" w:cs="Times New Roman"/>
          <w:color w:val="auto"/>
          <w:sz w:val="32"/>
          <w:szCs w:val="32"/>
          <w:highlight w:val="none"/>
          <w:lang w:val="en-US" w:eastAsia="zh-CN"/>
        </w:rPr>
        <w:t>四</w:t>
      </w:r>
      <w:r>
        <w:rPr>
          <w:rFonts w:hint="default" w:ascii="Times New Roman" w:hAnsi="Times New Roman" w:eastAsia="仿宋" w:cs="Times New Roman"/>
          <w:color w:val="auto"/>
          <w:sz w:val="32"/>
          <w:szCs w:val="32"/>
          <w:highlight w:val="none"/>
          <w:lang w:eastAsia="zh-CN"/>
        </w:rPr>
        <w:t>个环节：套餐配置、套餐上架、确认套餐信息、合同签订。</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eastAsia="zh-CN"/>
        </w:rPr>
        <w:t>套餐配置。售电公司在满足零售平台参数配置约束的前提下，进行套餐资费等参数设置。售电公司可按用电类别、用电量及注册地等字段设定套餐适用范围</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并明确</w:t>
      </w:r>
      <w:r>
        <w:rPr>
          <w:rFonts w:hint="eastAsia" w:ascii="Times New Roman" w:hAnsi="Times New Roman" w:eastAsia="仿宋" w:cs="Times New Roman"/>
          <w:color w:val="auto"/>
          <w:sz w:val="32"/>
          <w:szCs w:val="32"/>
          <w:highlight w:val="none"/>
          <w:lang w:val="en-US" w:eastAsia="zh-CN"/>
        </w:rPr>
        <w:t>用户</w:t>
      </w:r>
      <w:r>
        <w:rPr>
          <w:rFonts w:hint="default" w:ascii="Times New Roman" w:hAnsi="Times New Roman" w:eastAsia="仿宋" w:cs="Times New Roman"/>
          <w:color w:val="auto"/>
          <w:sz w:val="32"/>
          <w:szCs w:val="32"/>
          <w:highlight w:val="none"/>
          <w:lang w:val="en-US" w:eastAsia="zh-CN"/>
        </w:rPr>
        <w:t>签约</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截止时间</w:t>
      </w:r>
      <w:r>
        <w:rPr>
          <w:rFonts w:hint="default" w:ascii="Times New Roman" w:hAnsi="Times New Roman" w:eastAsia="仿宋" w:cs="Times New Roman"/>
          <w:color w:val="auto"/>
          <w:sz w:val="32"/>
          <w:szCs w:val="32"/>
          <w:highlight w:val="none"/>
          <w:lang w:eastAsia="zh-CN"/>
        </w:rPr>
        <w:t>。售电公司完成套餐配置，零售平台将自动生成对应的</w:t>
      </w:r>
      <w:r>
        <w:rPr>
          <w:rFonts w:hint="eastAsia" w:ascii="Times New Roman" w:hAnsi="Times New Roman" w:eastAsia="仿宋" w:cs="Times New Roman"/>
          <w:color w:val="auto"/>
          <w:sz w:val="32"/>
          <w:szCs w:val="32"/>
          <w:highlight w:val="none"/>
          <w:lang w:val="en-US" w:eastAsia="zh-CN"/>
        </w:rPr>
        <w:t>电子</w:t>
      </w:r>
      <w:r>
        <w:rPr>
          <w:rFonts w:hint="default" w:ascii="Times New Roman" w:hAnsi="Times New Roman" w:eastAsia="仿宋" w:cs="Times New Roman"/>
          <w:color w:val="auto"/>
          <w:sz w:val="32"/>
          <w:szCs w:val="32"/>
          <w:highlight w:val="none"/>
          <w:lang w:eastAsia="zh-CN"/>
        </w:rPr>
        <w:t>零售合同</w:t>
      </w:r>
      <w:r>
        <w:rPr>
          <w:rFonts w:hint="eastAsia" w:ascii="Times New Roman" w:hAnsi="Times New Roman" w:eastAsia="仿宋" w:cs="Times New Roman"/>
          <w:color w:val="auto"/>
          <w:sz w:val="32"/>
          <w:szCs w:val="32"/>
          <w:highlight w:val="none"/>
          <w:lang w:val="en-US" w:eastAsia="zh-CN"/>
        </w:rPr>
        <w:t>文本</w:t>
      </w:r>
      <w:r>
        <w:rPr>
          <w:rFonts w:hint="default" w:ascii="Times New Roman" w:hAnsi="Times New Roman" w:eastAsia="仿宋" w:cs="Times New Roman"/>
          <w:color w:val="auto"/>
          <w:sz w:val="32"/>
          <w:szCs w:val="32"/>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eastAsia="zh-CN"/>
        </w:rPr>
        <w:t>套餐上架。售电公司核对套餐及合同信息无误</w:t>
      </w:r>
      <w:r>
        <w:rPr>
          <w:rFonts w:hint="eastAsia" w:ascii="Times New Roman" w:hAnsi="Times New Roman" w:eastAsia="仿宋" w:cs="Times New Roman"/>
          <w:color w:val="auto"/>
          <w:sz w:val="32"/>
          <w:szCs w:val="32"/>
          <w:highlight w:val="none"/>
          <w:lang w:val="en-US"/>
        </w:rPr>
        <w:t>且</w:t>
      </w:r>
      <w:r>
        <w:rPr>
          <w:rFonts w:hint="default" w:ascii="Times New Roman" w:hAnsi="Times New Roman" w:eastAsia="仿宋" w:cs="Times New Roman"/>
          <w:color w:val="auto"/>
          <w:sz w:val="32"/>
          <w:szCs w:val="32"/>
          <w:highlight w:val="none"/>
          <w:lang w:eastAsia="zh-CN"/>
        </w:rPr>
        <w:t>完成电子零售合同线上签章后，套餐正式上架</w:t>
      </w:r>
      <w:r>
        <w:rPr>
          <w:rFonts w:hint="eastAsia" w:ascii="Times New Roman" w:hAnsi="Times New Roman" w:eastAsia="仿宋" w:cs="Times New Roman"/>
          <w:color w:val="auto"/>
          <w:sz w:val="32"/>
          <w:szCs w:val="32"/>
          <w:highlight w:val="none"/>
          <w:lang w:val="en-US" w:eastAsia="zh-CN"/>
        </w:rPr>
        <w:t>成为有效的要约</w:t>
      </w:r>
      <w:r>
        <w:rPr>
          <w:rFonts w:hint="default" w:ascii="Times New Roman" w:hAnsi="Times New Roman" w:eastAsia="仿宋" w:cs="Times New Roman"/>
          <w:color w:val="auto"/>
          <w:sz w:val="32"/>
          <w:szCs w:val="32"/>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eastAsia="zh-CN"/>
        </w:rPr>
        <w:t>确认套餐信息。零售用户确认其购买的套餐各项参数及合同信息。</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eastAsia="zh-CN"/>
        </w:rPr>
        <w:t>合同签订。零售用户从各售电公司已上架套餐中</w:t>
      </w:r>
      <w:r>
        <w:rPr>
          <w:rFonts w:hint="eastAsia" w:ascii="Times New Roman" w:hAnsi="Times New Roman" w:eastAsia="仿宋" w:cs="Times New Roman"/>
          <w:color w:val="auto"/>
          <w:sz w:val="32"/>
          <w:szCs w:val="32"/>
          <w:highlight w:val="none"/>
          <w:lang w:val="en-US" w:eastAsia="zh-CN"/>
        </w:rPr>
        <w:t>选取</w:t>
      </w:r>
      <w:r>
        <w:rPr>
          <w:rFonts w:hint="default" w:ascii="Times New Roman" w:hAnsi="Times New Roman" w:eastAsia="仿宋" w:cs="Times New Roman"/>
          <w:color w:val="auto"/>
          <w:sz w:val="32"/>
          <w:szCs w:val="32"/>
          <w:highlight w:val="none"/>
          <w:lang w:eastAsia="zh-CN"/>
        </w:rPr>
        <w:t>意向套餐</w:t>
      </w:r>
      <w:r>
        <w:rPr>
          <w:rFonts w:hint="eastAsia"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lang w:eastAsia="zh-CN"/>
        </w:rPr>
        <w:t>签订零售合同。</w:t>
      </w:r>
    </w:p>
    <w:p>
      <w:pPr>
        <w:pStyle w:val="36"/>
        <w:pageBreakBefore w:val="0"/>
        <w:numPr>
          <w:ilvl w:val="0"/>
          <w:numId w:val="18"/>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邀约交易</w:t>
      </w:r>
      <w:r>
        <w:rPr>
          <w:rFonts w:hint="eastAsia" w:hAnsi="Times New Roman" w:eastAsia="仿宋" w:cs="Times New Roman"/>
          <w:color w:val="auto"/>
          <w:sz w:val="32"/>
          <w:szCs w:val="32"/>
          <w:highlight w:val="none"/>
          <w:lang w:val="en-US" w:eastAsia="zh-CN"/>
        </w:rPr>
        <w:t>指零售用户向售电公司发起邀约，售电公司响应并配置套餐的交易方式，交易过程包括</w:t>
      </w:r>
      <w:r>
        <w:rPr>
          <w:rFonts w:hint="default" w:ascii="Times New Roman" w:hAnsi="Times New Roman" w:eastAsia="仿宋" w:cs="Times New Roman"/>
          <w:color w:val="auto"/>
          <w:sz w:val="32"/>
          <w:szCs w:val="32"/>
          <w:highlight w:val="none"/>
          <w:lang w:val="en-US" w:eastAsia="zh-CN"/>
        </w:rPr>
        <w:t>：零售用户邀约、售电公司响应、售电公司定制、</w:t>
      </w:r>
      <w:r>
        <w:rPr>
          <w:rFonts w:hint="default" w:ascii="Times New Roman" w:hAnsi="Times New Roman" w:eastAsia="仿宋"/>
          <w:color w:val="auto"/>
          <w:sz w:val="32"/>
          <w:szCs w:val="32"/>
          <w:highlight w:val="none"/>
          <w:lang w:val="en-US" w:eastAsia="zh-CN"/>
        </w:rPr>
        <w:t>零售套餐推送、</w:t>
      </w:r>
      <w:r>
        <w:rPr>
          <w:rFonts w:hint="default" w:ascii="Times New Roman" w:hAnsi="Times New Roman" w:eastAsia="仿宋" w:cs="Times New Roman"/>
          <w:color w:val="auto"/>
          <w:sz w:val="32"/>
          <w:szCs w:val="32"/>
          <w:highlight w:val="none"/>
          <w:lang w:val="en-US" w:eastAsia="zh-CN"/>
        </w:rPr>
        <w:t>确认套餐信息、合同签订。</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1.零售用户邀约。零售用户向售电公司发出邀约，邀请售电公司在规定的时间内为自己定制套餐。零售用户可根据需要自主选择邀约范围，并决定是否向其邀约的售电公司临时开放用电信息查询权限。</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2.售电公司响应。售电公司在规定的时间内接受零售用户邀约。</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3.售电公司定制。售电公司针对发起邀约的零售用户定制零售套餐。</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4.零售套餐推送。售电公司核对套餐及合同信息无误，完成电子零售合同线上签章后，套餐推送至发起邀约的零售用户。邀约响应时间截止或零售用户下单后，售电公司不能撤回或修改已推送的零售套餐。</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5.邀约交易中的确认套餐信息、合同签订</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环节与挂牌交易流程对应的环节要求一致。</w:t>
      </w:r>
    </w:p>
    <w:p>
      <w:pPr>
        <w:pStyle w:val="36"/>
        <w:pageBreakBefore w:val="0"/>
        <w:numPr>
          <w:ilvl w:val="0"/>
          <w:numId w:val="18"/>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线下协商线上签约</w:t>
      </w:r>
      <w:r>
        <w:rPr>
          <w:rFonts w:hint="default" w:ascii="Times New Roman" w:hAnsi="Times New Roman" w:eastAsia="仿宋" w:cs="Times New Roman"/>
          <w:color w:val="auto"/>
          <w:sz w:val="32"/>
          <w:szCs w:val="32"/>
          <w:highlight w:val="none"/>
          <w:lang w:eastAsia="zh-CN"/>
        </w:rPr>
        <w:t>是指由售电公司</w:t>
      </w:r>
      <w:r>
        <w:rPr>
          <w:rFonts w:hint="eastAsia" w:hAnsi="Times New Roman" w:eastAsia="仿宋" w:cs="Times New Roman"/>
          <w:color w:val="auto"/>
          <w:sz w:val="32"/>
          <w:szCs w:val="32"/>
          <w:highlight w:val="none"/>
          <w:lang w:val="en-US" w:eastAsia="zh-CN"/>
        </w:rPr>
        <w:t>与零售用户双方线下协商确定零售代理关系，并通过零售平台</w:t>
      </w:r>
      <w:r>
        <w:rPr>
          <w:rFonts w:hint="eastAsia" w:hAnsi="Times New Roman" w:eastAsia="仿宋"/>
          <w:color w:val="auto"/>
          <w:sz w:val="32"/>
          <w:szCs w:val="32"/>
          <w:highlight w:val="none"/>
        </w:rPr>
        <w:t>签订零售合同</w:t>
      </w:r>
      <w:r>
        <w:rPr>
          <w:rFonts w:hint="eastAsia" w:hAnsi="Times New Roman" w:eastAsia="仿宋"/>
          <w:color w:val="auto"/>
          <w:sz w:val="32"/>
          <w:szCs w:val="32"/>
          <w:highlight w:val="none"/>
          <w:lang w:val="en-US" w:eastAsia="zh-CN"/>
        </w:rPr>
        <w:t>的交易方式</w:t>
      </w:r>
      <w:r>
        <w:rPr>
          <w:rFonts w:hint="default" w:ascii="Times New Roman" w:hAnsi="Times New Roman" w:eastAsia="仿宋" w:cs="Times New Roman"/>
          <w:color w:val="auto"/>
          <w:sz w:val="32"/>
          <w:szCs w:val="32"/>
          <w:highlight w:val="none"/>
          <w:lang w:eastAsia="zh-CN"/>
        </w:rPr>
        <w:t>，交易过程包括</w:t>
      </w:r>
      <w:r>
        <w:rPr>
          <w:rFonts w:hint="eastAsia" w:hAnsi="Times New Roman" w:eastAsia="仿宋" w:cs="Times New Roman"/>
          <w:color w:val="auto"/>
          <w:sz w:val="32"/>
          <w:szCs w:val="32"/>
          <w:highlight w:val="none"/>
          <w:lang w:val="en-US" w:eastAsia="zh-CN"/>
        </w:rPr>
        <w:t>三</w:t>
      </w:r>
      <w:r>
        <w:rPr>
          <w:rFonts w:hint="default" w:ascii="Times New Roman" w:hAnsi="Times New Roman" w:eastAsia="仿宋" w:cs="Times New Roman"/>
          <w:color w:val="auto"/>
          <w:sz w:val="32"/>
          <w:szCs w:val="32"/>
          <w:highlight w:val="none"/>
          <w:lang w:eastAsia="zh-CN"/>
        </w:rPr>
        <w:t>个环节：</w:t>
      </w:r>
      <w:r>
        <w:rPr>
          <w:rFonts w:hint="eastAsia" w:hAnsi="Times New Roman" w:eastAsia="仿宋" w:cs="Times New Roman"/>
          <w:color w:val="auto"/>
          <w:sz w:val="32"/>
          <w:szCs w:val="32"/>
          <w:highlight w:val="none"/>
          <w:lang w:val="en-US" w:eastAsia="zh-CN"/>
        </w:rPr>
        <w:t>合同邀约</w:t>
      </w:r>
      <w:r>
        <w:rPr>
          <w:rFonts w:hint="default" w:ascii="Times New Roman" w:hAnsi="Times New Roman" w:eastAsia="仿宋" w:cs="Times New Roman"/>
          <w:color w:val="auto"/>
          <w:sz w:val="32"/>
          <w:szCs w:val="32"/>
          <w:highlight w:val="none"/>
          <w:lang w:eastAsia="zh-CN"/>
        </w:rPr>
        <w:t>、确认</w:t>
      </w:r>
      <w:r>
        <w:rPr>
          <w:rFonts w:hint="eastAsia" w:hAnsi="Times New Roman" w:eastAsia="仿宋" w:cs="Times New Roman"/>
          <w:color w:val="auto"/>
          <w:sz w:val="32"/>
          <w:szCs w:val="32"/>
          <w:highlight w:val="none"/>
          <w:lang w:val="en-US" w:eastAsia="zh-CN"/>
        </w:rPr>
        <w:t>合同</w:t>
      </w:r>
      <w:r>
        <w:rPr>
          <w:rFonts w:hint="default" w:ascii="Times New Roman" w:hAnsi="Times New Roman" w:eastAsia="仿宋" w:cs="Times New Roman"/>
          <w:color w:val="auto"/>
          <w:sz w:val="32"/>
          <w:szCs w:val="32"/>
          <w:highlight w:val="none"/>
          <w:lang w:eastAsia="zh-CN"/>
        </w:rPr>
        <w:t>信息、合同签订。</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lang w:val="en-US" w:eastAsia="zh-CN"/>
        </w:rPr>
        <w:t>合同邀约</w:t>
      </w:r>
      <w:r>
        <w:rPr>
          <w:rFonts w:hint="default" w:ascii="Times New Roman" w:hAnsi="Times New Roman" w:eastAsia="仿宋" w:cs="Times New Roman"/>
          <w:color w:val="auto"/>
          <w:sz w:val="32"/>
          <w:szCs w:val="32"/>
          <w:highlight w:val="none"/>
          <w:lang w:eastAsia="zh-CN"/>
        </w:rPr>
        <w:t>。售电公司</w:t>
      </w:r>
      <w:r>
        <w:rPr>
          <w:rFonts w:hint="eastAsia" w:ascii="Times New Roman" w:hAnsi="Times New Roman" w:eastAsia="仿宋" w:cs="Times New Roman"/>
          <w:color w:val="auto"/>
          <w:sz w:val="32"/>
          <w:szCs w:val="32"/>
          <w:highlight w:val="none"/>
          <w:lang w:val="en-US" w:eastAsia="zh-CN"/>
        </w:rPr>
        <w:t>在</w:t>
      </w:r>
      <w:r>
        <w:rPr>
          <w:rFonts w:hint="eastAsia" w:hAnsi="Times New Roman" w:eastAsia="仿宋" w:cs="Times New Roman"/>
          <w:color w:val="auto"/>
          <w:sz w:val="32"/>
          <w:szCs w:val="32"/>
          <w:highlight w:val="none"/>
          <w:lang w:val="en-US" w:eastAsia="zh-CN"/>
        </w:rPr>
        <w:t>与零售用户双方线下协商一致的前提下，</w:t>
      </w:r>
      <w:r>
        <w:rPr>
          <w:rFonts w:hint="default" w:ascii="Times New Roman" w:hAnsi="Times New Roman" w:eastAsia="仿宋" w:cs="Times New Roman"/>
          <w:color w:val="auto"/>
          <w:sz w:val="32"/>
          <w:szCs w:val="32"/>
          <w:highlight w:val="none"/>
        </w:rPr>
        <w:t>按照零售合同</w:t>
      </w:r>
      <w:r>
        <w:rPr>
          <w:rFonts w:hint="eastAsia" w:ascii="Times New Roman" w:hAnsi="Times New Roman" w:eastAsia="仿宋" w:cs="Times New Roman"/>
          <w:color w:val="auto"/>
          <w:sz w:val="32"/>
          <w:szCs w:val="32"/>
          <w:highlight w:val="none"/>
          <w:lang w:val="en-US" w:eastAsia="zh-CN"/>
        </w:rPr>
        <w:t>范本填写</w:t>
      </w:r>
      <w:r>
        <w:rPr>
          <w:rFonts w:hint="default" w:ascii="Times New Roman" w:hAnsi="Times New Roman" w:eastAsia="仿宋" w:cs="Times New Roman"/>
          <w:color w:val="auto"/>
          <w:sz w:val="32"/>
          <w:szCs w:val="32"/>
          <w:highlight w:val="none"/>
        </w:rPr>
        <w:t>零售关键信息</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零售平台将自动生成对应的</w:t>
      </w:r>
      <w:r>
        <w:rPr>
          <w:rFonts w:hint="eastAsia" w:ascii="Times New Roman" w:hAnsi="Times New Roman" w:eastAsia="仿宋" w:cs="Times New Roman"/>
          <w:color w:val="auto"/>
          <w:sz w:val="32"/>
          <w:szCs w:val="32"/>
          <w:highlight w:val="none"/>
          <w:lang w:val="en-US" w:eastAsia="zh-CN"/>
        </w:rPr>
        <w:t>电子</w:t>
      </w:r>
      <w:r>
        <w:rPr>
          <w:rFonts w:hint="default" w:ascii="Times New Roman" w:hAnsi="Times New Roman" w:eastAsia="仿宋" w:cs="Times New Roman"/>
          <w:color w:val="auto"/>
          <w:sz w:val="32"/>
          <w:szCs w:val="32"/>
          <w:highlight w:val="none"/>
          <w:lang w:eastAsia="zh-CN"/>
        </w:rPr>
        <w:t>零售合同</w:t>
      </w:r>
      <w:r>
        <w:rPr>
          <w:rFonts w:hint="eastAsia" w:ascii="Times New Roman" w:hAnsi="Times New Roman" w:eastAsia="仿宋" w:cs="Times New Roman"/>
          <w:color w:val="auto"/>
          <w:sz w:val="32"/>
          <w:szCs w:val="32"/>
          <w:highlight w:val="none"/>
          <w:lang w:val="en-US" w:eastAsia="zh-CN"/>
        </w:rPr>
        <w:t>文本；售电公司在</w:t>
      </w:r>
      <w:r>
        <w:rPr>
          <w:rFonts w:hint="default" w:ascii="Times New Roman" w:hAnsi="Times New Roman" w:eastAsia="仿宋" w:cs="Times New Roman"/>
          <w:color w:val="auto"/>
          <w:sz w:val="32"/>
          <w:szCs w:val="32"/>
          <w:highlight w:val="none"/>
          <w:lang w:eastAsia="zh-CN"/>
        </w:rPr>
        <w:t>完成电子零售合同线上签章</w:t>
      </w:r>
      <w:r>
        <w:rPr>
          <w:rFonts w:hint="eastAsia" w:ascii="Times New Roman" w:hAnsi="Times New Roman" w:eastAsia="仿宋" w:cs="Times New Roman"/>
          <w:color w:val="auto"/>
          <w:sz w:val="32"/>
          <w:szCs w:val="32"/>
          <w:highlight w:val="none"/>
          <w:lang w:val="en-US" w:eastAsia="zh-CN"/>
        </w:rPr>
        <w:t>后</w:t>
      </w:r>
      <w:r>
        <w:rPr>
          <w:rFonts w:hint="default"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向指定零售用户发起合同邀约。</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eastAsia="zh-CN"/>
        </w:rPr>
        <w:t>确认</w:t>
      </w:r>
      <w:r>
        <w:rPr>
          <w:rFonts w:hint="eastAsia" w:ascii="Times New Roman" w:hAnsi="Times New Roman" w:eastAsia="仿宋" w:cs="Times New Roman"/>
          <w:color w:val="auto"/>
          <w:sz w:val="32"/>
          <w:szCs w:val="32"/>
          <w:highlight w:val="none"/>
          <w:lang w:val="en-US" w:eastAsia="zh-CN"/>
        </w:rPr>
        <w:t>合同</w:t>
      </w:r>
      <w:r>
        <w:rPr>
          <w:rFonts w:hint="default" w:ascii="Times New Roman" w:hAnsi="Times New Roman" w:eastAsia="仿宋" w:cs="Times New Roman"/>
          <w:color w:val="auto"/>
          <w:sz w:val="32"/>
          <w:szCs w:val="32"/>
          <w:highlight w:val="none"/>
          <w:lang w:eastAsia="zh-CN"/>
        </w:rPr>
        <w:t>信息。零售用户确认</w:t>
      </w:r>
      <w:r>
        <w:rPr>
          <w:rFonts w:hint="eastAsia" w:ascii="Times New Roman" w:hAnsi="Times New Roman" w:eastAsia="仿宋" w:cs="Times New Roman"/>
          <w:color w:val="auto"/>
          <w:sz w:val="32"/>
          <w:szCs w:val="32"/>
          <w:highlight w:val="none"/>
          <w:lang w:val="en-US" w:eastAsia="zh-CN"/>
        </w:rPr>
        <w:t>合同邀约中</w:t>
      </w:r>
      <w:r>
        <w:rPr>
          <w:rFonts w:hint="default" w:ascii="Times New Roman" w:hAnsi="Times New Roman" w:eastAsia="仿宋" w:cs="Times New Roman"/>
          <w:color w:val="auto"/>
          <w:sz w:val="32"/>
          <w:szCs w:val="32"/>
          <w:highlight w:val="none"/>
          <w:lang w:eastAsia="zh-CN"/>
        </w:rPr>
        <w:t>各项合同信息</w:t>
      </w:r>
      <w:r>
        <w:rPr>
          <w:rFonts w:hint="eastAsia" w:ascii="Times New Roman" w:hAnsi="Times New Roman" w:eastAsia="仿宋" w:cs="Times New Roman"/>
          <w:color w:val="auto"/>
          <w:sz w:val="32"/>
          <w:szCs w:val="32"/>
          <w:highlight w:val="none"/>
          <w:lang w:val="en-US" w:eastAsia="zh-CN"/>
        </w:rPr>
        <w:t>与线下协商的一致性</w:t>
      </w:r>
      <w:r>
        <w:rPr>
          <w:rFonts w:hint="default" w:ascii="Times New Roman" w:hAnsi="Times New Roman" w:eastAsia="仿宋" w:cs="Times New Roman"/>
          <w:color w:val="auto"/>
          <w:sz w:val="32"/>
          <w:szCs w:val="32"/>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合同签订。零售用户</w:t>
      </w:r>
      <w:r>
        <w:rPr>
          <w:rFonts w:hint="eastAsia" w:ascii="Times New Roman" w:hAnsi="Times New Roman" w:eastAsia="仿宋" w:cs="Times New Roman"/>
          <w:color w:val="auto"/>
          <w:sz w:val="32"/>
          <w:szCs w:val="32"/>
          <w:highlight w:val="none"/>
          <w:lang w:val="en-US" w:eastAsia="zh-CN"/>
        </w:rPr>
        <w:t>通过对</w:t>
      </w:r>
      <w:r>
        <w:rPr>
          <w:rFonts w:hint="default" w:ascii="Times New Roman" w:hAnsi="Times New Roman" w:eastAsia="仿宋" w:cs="Times New Roman"/>
          <w:color w:val="auto"/>
          <w:sz w:val="32"/>
          <w:szCs w:val="32"/>
          <w:highlight w:val="none"/>
          <w:lang w:eastAsia="zh-CN"/>
        </w:rPr>
        <w:t>电子零售合同线上签章</w:t>
      </w:r>
      <w:r>
        <w:rPr>
          <w:rFonts w:hint="eastAsia" w:ascii="Times New Roman" w:hAnsi="Times New Roman" w:eastAsia="仿宋" w:cs="Times New Roman"/>
          <w:color w:val="auto"/>
          <w:sz w:val="32"/>
          <w:szCs w:val="32"/>
          <w:highlight w:val="none"/>
          <w:lang w:val="en-US" w:eastAsia="zh-CN"/>
        </w:rPr>
        <w:t>完成</w:t>
      </w:r>
      <w:r>
        <w:rPr>
          <w:rFonts w:hint="default" w:ascii="Times New Roman" w:hAnsi="Times New Roman" w:eastAsia="仿宋" w:cs="Times New Roman"/>
          <w:color w:val="auto"/>
          <w:sz w:val="32"/>
          <w:szCs w:val="32"/>
          <w:highlight w:val="none"/>
          <w:lang w:eastAsia="zh-CN"/>
        </w:rPr>
        <w:t>零售合同</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eastAsia="zh-CN"/>
        </w:rPr>
        <w:t>签订。</w:t>
      </w:r>
    </w:p>
    <w:p>
      <w:pPr>
        <w:pStyle w:val="38"/>
        <w:keepNext w:val="0"/>
        <w:keepLines w:val="0"/>
        <w:pageBreakBefore w:val="0"/>
        <w:widowControl/>
        <w:numPr>
          <w:ilvl w:val="0"/>
          <w:numId w:val="4"/>
        </w:numPr>
        <w:kinsoku/>
        <w:wordWrap/>
        <w:overflowPunct/>
        <w:topLinePunct w:val="0"/>
        <w:autoSpaceDE/>
        <w:autoSpaceDN/>
        <w:bidi w:val="0"/>
        <w:adjustRightInd/>
        <w:snapToGrid/>
        <w:spacing w:line="560" w:lineRule="exact"/>
        <w:ind w:firstLine="600" w:firstLineChars="0"/>
        <w:textAlignment w:val="auto"/>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要约要求</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售电公司不得频繁撤销套餐，套餐上架后应满足套餐存续时间要求</w:t>
      </w:r>
      <w:r>
        <w:rPr>
          <w:rFonts w:hint="default" w:ascii="Times New Roman" w:hAnsi="Times New Roman" w:eastAsia="仿宋" w:cs="Times New Roman"/>
          <w:color w:val="auto"/>
          <w:sz w:val="32"/>
          <w:szCs w:val="32"/>
          <w:highlight w:val="none"/>
        </w:rPr>
        <w:t>。</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76" w:name="_Toc1566"/>
      <w:bookmarkStart w:id="77" w:name="_Toc25339"/>
      <w:bookmarkStart w:id="78" w:name="_Toc28043"/>
      <w:bookmarkStart w:id="79" w:name="_Toc2511"/>
      <w:bookmarkStart w:id="80" w:name="_Toc32662"/>
      <w:bookmarkStart w:id="81" w:name="_Toc104490862"/>
      <w:bookmarkStart w:id="82" w:name="_Toc18350"/>
      <w:bookmarkStart w:id="83" w:name="_Toc15700"/>
      <w:bookmarkStart w:id="84" w:name="_Toc25354"/>
      <w:bookmarkStart w:id="85" w:name="_Toc23052"/>
      <w:bookmarkStart w:id="86" w:name="_Toc23953"/>
      <w:bookmarkStart w:id="87" w:name="_Toc103787847"/>
      <w:r>
        <w:rPr>
          <w:rFonts w:hint="default" w:ascii="黑体" w:hAnsi="黑体" w:eastAsia="黑体" w:cs="黑体"/>
          <w:b w:val="0"/>
          <w:bCs w:val="0"/>
          <w:color w:val="auto"/>
          <w:sz w:val="32"/>
          <w:szCs w:val="32"/>
          <w:highlight w:val="none"/>
        </w:rPr>
        <w:t>零售合同</w:t>
      </w:r>
      <w:bookmarkEnd w:id="76"/>
      <w:bookmarkEnd w:id="77"/>
      <w:bookmarkEnd w:id="78"/>
      <w:bookmarkEnd w:id="79"/>
      <w:bookmarkEnd w:id="80"/>
      <w:bookmarkEnd w:id="81"/>
      <w:bookmarkEnd w:id="82"/>
      <w:bookmarkEnd w:id="83"/>
      <w:bookmarkEnd w:id="84"/>
      <w:bookmarkEnd w:id="85"/>
      <w:bookmarkEnd w:id="86"/>
      <w:bookmarkEnd w:id="87"/>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合同</w:t>
      </w:r>
      <w:r>
        <w:rPr>
          <w:rFonts w:hint="eastAsia" w:ascii="Times New Roman" w:hAnsi="Times New Roman" w:eastAsia="仿宋" w:cs="Times New Roman"/>
          <w:color w:val="auto"/>
          <w:sz w:val="32"/>
          <w:szCs w:val="32"/>
          <w:highlight w:val="none"/>
          <w:lang w:val="en-US" w:eastAsia="zh-CN"/>
        </w:rPr>
        <w:t>范本固化</w:t>
      </w:r>
      <w:r>
        <w:rPr>
          <w:rFonts w:hint="default" w:ascii="Times New Roman" w:hAnsi="Times New Roman" w:eastAsia="仿宋" w:cs="Times New Roman"/>
          <w:color w:val="auto"/>
          <w:sz w:val="32"/>
          <w:szCs w:val="32"/>
          <w:highlight w:val="none"/>
        </w:rPr>
        <w:t>]售电公司和零售用户开展零售交易应使用零售合同</w:t>
      </w:r>
      <w:r>
        <w:rPr>
          <w:rFonts w:hint="eastAsia" w:ascii="Times New Roman" w:hAnsi="Times New Roman" w:eastAsia="仿宋" w:cs="Times New Roman"/>
          <w:color w:val="auto"/>
          <w:sz w:val="32"/>
          <w:szCs w:val="32"/>
          <w:highlight w:val="none"/>
          <w:lang w:val="en-US" w:eastAsia="zh-CN"/>
        </w:rPr>
        <w:t>范本</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范本</w:t>
      </w:r>
      <w:r>
        <w:rPr>
          <w:rFonts w:hint="default" w:ascii="Times New Roman" w:hAnsi="Times New Roman" w:eastAsia="仿宋" w:cs="Times New Roman"/>
          <w:color w:val="auto"/>
          <w:sz w:val="32"/>
          <w:szCs w:val="32"/>
          <w:highlight w:val="none"/>
        </w:rPr>
        <w:t>由</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统一编制印发，并固化至零售平台。</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应根据市场实际及运营要求定期开展零售合同</w:t>
      </w:r>
      <w:r>
        <w:rPr>
          <w:rFonts w:hint="eastAsia" w:ascii="Times New Roman" w:hAnsi="Times New Roman" w:eastAsia="仿宋" w:cs="Times New Roman"/>
          <w:color w:val="auto"/>
          <w:sz w:val="32"/>
          <w:szCs w:val="32"/>
          <w:highlight w:val="none"/>
          <w:lang w:val="en-US" w:eastAsia="zh-CN"/>
        </w:rPr>
        <w:t>范本</w:t>
      </w:r>
      <w:r>
        <w:rPr>
          <w:rFonts w:hint="default" w:ascii="Times New Roman" w:hAnsi="Times New Roman" w:eastAsia="仿宋" w:cs="Times New Roman"/>
          <w:color w:val="auto"/>
          <w:sz w:val="32"/>
          <w:szCs w:val="32"/>
          <w:highlight w:val="none"/>
        </w:rPr>
        <w:t>的修订，最大程度满足零售市场需求。</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合同</w:t>
      </w:r>
      <w:r>
        <w:rPr>
          <w:rFonts w:hint="eastAsia" w:ascii="Times New Roman" w:hAnsi="Times New Roman" w:eastAsia="仿宋" w:cs="Times New Roman"/>
          <w:color w:val="auto"/>
          <w:sz w:val="32"/>
          <w:szCs w:val="32"/>
          <w:highlight w:val="none"/>
          <w:lang w:val="en-US" w:eastAsia="zh-CN"/>
        </w:rPr>
        <w:t>范本</w:t>
      </w:r>
      <w:r>
        <w:rPr>
          <w:rFonts w:ascii="Times New Roman" w:hAnsi="Times New Roman" w:eastAsia="仿宋" w:cs="Times New Roman"/>
          <w:color w:val="auto"/>
          <w:sz w:val="32"/>
          <w:szCs w:val="32"/>
          <w:highlight w:val="none"/>
        </w:rPr>
        <w:t>仅支持</w:t>
      </w:r>
      <w:r>
        <w:rPr>
          <w:rFonts w:hint="default" w:ascii="Times New Roman" w:hAnsi="Times New Roman" w:eastAsia="仿宋" w:cs="Times New Roman"/>
          <w:color w:val="auto"/>
          <w:sz w:val="32"/>
          <w:szCs w:val="32"/>
          <w:highlight w:val="none"/>
        </w:rPr>
        <w:t>售电公司和零售用户电力零售交易；</w:t>
      </w:r>
      <w:r>
        <w:rPr>
          <w:rFonts w:ascii="Times New Roman" w:hAnsi="Times New Roman" w:eastAsia="仿宋" w:cs="Times New Roman"/>
          <w:color w:val="auto"/>
          <w:sz w:val="32"/>
          <w:szCs w:val="32"/>
          <w:highlight w:val="none"/>
        </w:rPr>
        <w:t>若涉及其他需资金结算的增值服务，由合同双方另行签订服务合同，并自主开展结算。</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合同签订、变更或解除</w:t>
      </w:r>
      <w:r>
        <w:rPr>
          <w:rFonts w:hint="default" w:ascii="Times New Roman" w:hAnsi="Times New Roman" w:eastAsia="仿宋" w:cs="Times New Roman"/>
          <w:color w:val="auto"/>
          <w:sz w:val="32"/>
          <w:szCs w:val="32"/>
          <w:highlight w:val="none"/>
        </w:rPr>
        <w:t>]售电公司与零售用户签订、变更或解除零售合同</w:t>
      </w:r>
      <w:r>
        <w:rPr>
          <w:rFonts w:hint="eastAsia" w:ascii="Times New Roman" w:hAnsi="Times New Roman" w:eastAsia="仿宋" w:cs="Times New Roman"/>
          <w:color w:val="auto"/>
          <w:sz w:val="32"/>
          <w:szCs w:val="32"/>
          <w:highlight w:val="none"/>
          <w:lang w:val="en-US" w:eastAsia="zh-CN"/>
        </w:rPr>
        <w:t>原则上</w:t>
      </w:r>
      <w:r>
        <w:rPr>
          <w:rFonts w:hint="default" w:ascii="Times New Roman" w:eastAsia="仿宋" w:cs="Times New Roman"/>
          <w:sz w:val="32"/>
          <w:szCs w:val="32"/>
          <w:highlight w:val="none"/>
          <w:lang w:val="en-US" w:eastAsia="zh-CN"/>
        </w:rPr>
        <w:t>应</w:t>
      </w:r>
      <w:r>
        <w:rPr>
          <w:rFonts w:hint="default" w:ascii="Times New Roman" w:hAnsi="Times New Roman" w:eastAsia="仿宋" w:cs="Times New Roman"/>
          <w:color w:val="auto"/>
          <w:sz w:val="32"/>
          <w:szCs w:val="32"/>
          <w:highlight w:val="none"/>
        </w:rPr>
        <w:t>在零售平台完成。零售用户</w:t>
      </w:r>
      <w:r>
        <w:rPr>
          <w:rFonts w:hint="default" w:ascii="Times New Roman" w:hAnsi="Times New Roman" w:eastAsia="仿宋" w:cs="Times New Roman"/>
          <w:color w:val="auto"/>
          <w:sz w:val="32"/>
          <w:szCs w:val="32"/>
          <w:highlight w:val="none"/>
          <w:lang w:val="en-US" w:eastAsia="zh-CN"/>
        </w:rPr>
        <w:t>在</w:t>
      </w:r>
      <w:r>
        <w:rPr>
          <w:rFonts w:hint="default" w:ascii="Times New Roman" w:hAnsi="Times New Roman" w:eastAsia="仿宋" w:cs="Times New Roman"/>
          <w:color w:val="auto"/>
          <w:sz w:val="32"/>
          <w:szCs w:val="32"/>
          <w:highlight w:val="none"/>
        </w:rPr>
        <w:t>同一</w:t>
      </w:r>
      <w:r>
        <w:rPr>
          <w:rFonts w:hint="default" w:ascii="Times New Roman" w:hAnsi="Times New Roman" w:eastAsia="仿宋" w:cs="Times New Roman"/>
          <w:color w:val="auto"/>
          <w:sz w:val="32"/>
          <w:szCs w:val="32"/>
          <w:highlight w:val="none"/>
          <w:lang w:val="en-US" w:eastAsia="zh-CN"/>
        </w:rPr>
        <w:t>合同周期内</w:t>
      </w:r>
      <w:r>
        <w:rPr>
          <w:rFonts w:hint="default" w:ascii="Times New Roman" w:hAnsi="Times New Roman" w:eastAsia="仿宋" w:cs="Times New Roman"/>
          <w:color w:val="auto"/>
          <w:sz w:val="32"/>
          <w:szCs w:val="32"/>
          <w:highlight w:val="none"/>
        </w:rPr>
        <w:t>只能与一家售电公司签订零售合同。</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零售合同登记</w:t>
      </w:r>
      <w:r>
        <w:rPr>
          <w:rFonts w:hint="default" w:ascii="Times New Roman" w:hAnsi="Times New Roman" w:eastAsia="仿宋" w:cs="Times New Roman"/>
          <w:color w:val="auto"/>
          <w:sz w:val="32"/>
          <w:szCs w:val="32"/>
          <w:highlight w:val="none"/>
        </w:rPr>
        <w:t>]售电公司与零售用户在零售平台进行零售合同签订、变更或解除，将自动进行零售关键信息</w:t>
      </w:r>
      <w:r>
        <w:rPr>
          <w:rFonts w:hint="eastAsia" w:ascii="Times New Roman" w:hAnsi="Times New Roman" w:eastAsia="仿宋" w:cs="Times New Roman"/>
          <w:color w:val="auto"/>
          <w:sz w:val="32"/>
          <w:szCs w:val="32"/>
          <w:highlight w:val="none"/>
          <w:lang w:val="en-US" w:eastAsia="zh-CN"/>
        </w:rPr>
        <w:t>登记；按照零售合同范本线下签订的零售合同应通过零售平台签约的方式进行</w:t>
      </w:r>
      <w:r>
        <w:rPr>
          <w:rFonts w:hint="default" w:ascii="Times New Roman" w:hAnsi="Times New Roman" w:eastAsia="仿宋" w:cs="Times New Roman"/>
          <w:color w:val="auto"/>
          <w:sz w:val="32"/>
          <w:szCs w:val="32"/>
          <w:highlight w:val="none"/>
        </w:rPr>
        <w:t>零售关键信息</w:t>
      </w:r>
      <w:r>
        <w:rPr>
          <w:rFonts w:hint="eastAsia" w:ascii="Times New Roman" w:hAnsi="Times New Roman" w:eastAsia="仿宋" w:cs="Times New Roman"/>
          <w:color w:val="auto"/>
          <w:sz w:val="32"/>
          <w:szCs w:val="32"/>
          <w:highlight w:val="none"/>
          <w:lang w:val="en-US" w:eastAsia="zh-CN"/>
        </w:rPr>
        <w:t>登记</w:t>
      </w:r>
      <w:r>
        <w:rPr>
          <w:rFonts w:hint="default" w:ascii="Times New Roman" w:hAnsi="Times New Roman" w:eastAsia="仿宋" w:cs="Times New Roman"/>
          <w:color w:val="auto"/>
          <w:sz w:val="32"/>
          <w:szCs w:val="32"/>
          <w:highlight w:val="none"/>
        </w:rPr>
        <w:t>。零售关键信息包括零售双方主体、零售关系、零售结算模式等，</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以登记的</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关键信息为依据开展市场化交易及结算。</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bookmarkStart w:id="88" w:name="_Toc103787853"/>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政策性变更</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在</w:t>
      </w:r>
      <w:r>
        <w:rPr>
          <w:rFonts w:hint="default" w:ascii="Times New Roman" w:hAnsi="Times New Roman" w:eastAsia="仿宋" w:cs="Times New Roman"/>
          <w:color w:val="auto"/>
          <w:sz w:val="32"/>
          <w:szCs w:val="32"/>
          <w:highlight w:val="none"/>
        </w:rPr>
        <w:t>零售</w:t>
      </w:r>
      <w:r>
        <w:rPr>
          <w:rFonts w:hint="eastAsia" w:ascii="Times New Roman" w:hAnsi="Times New Roman" w:eastAsia="仿宋" w:cs="Times New Roman"/>
          <w:color w:val="auto"/>
          <w:sz w:val="32"/>
          <w:szCs w:val="32"/>
          <w:highlight w:val="none"/>
          <w:lang w:val="en-US" w:eastAsia="zh-CN"/>
        </w:rPr>
        <w:t>关键信息</w:t>
      </w:r>
      <w:r>
        <w:rPr>
          <w:rFonts w:hint="default" w:ascii="Times New Roman" w:hAnsi="Times New Roman" w:eastAsia="仿宋" w:cs="Times New Roman"/>
          <w:color w:val="auto"/>
          <w:sz w:val="32"/>
          <w:szCs w:val="32"/>
          <w:highlight w:val="none"/>
        </w:rPr>
        <w:t>登记有效期</w:t>
      </w:r>
      <w:r>
        <w:rPr>
          <w:rFonts w:hint="eastAsia" w:ascii="Times New Roman" w:hAnsi="Times New Roman" w:eastAsia="仿宋" w:cs="Times New Roman"/>
          <w:color w:val="auto"/>
          <w:sz w:val="32"/>
          <w:szCs w:val="32"/>
          <w:highlight w:val="none"/>
          <w:lang w:val="en-US" w:eastAsia="zh-CN"/>
        </w:rPr>
        <w:t>内</w:t>
      </w:r>
      <w:r>
        <w:rPr>
          <w:rFonts w:hint="default" w:ascii="Times New Roman" w:hAnsi="Times New Roman" w:eastAsia="仿宋" w:cs="Times New Roman"/>
          <w:color w:val="auto"/>
          <w:sz w:val="32"/>
          <w:szCs w:val="32"/>
          <w:highlight w:val="none"/>
        </w:rPr>
        <w:t>，因市场规则调整变更，导致零售合同与法律法规、国家</w:t>
      </w:r>
      <w:r>
        <w:rPr>
          <w:rFonts w:hint="eastAsia" w:ascii="Times New Roman" w:hAnsi="Times New Roman" w:eastAsia="仿宋" w:cs="Times New Roman"/>
          <w:color w:val="auto"/>
          <w:sz w:val="32"/>
          <w:szCs w:val="32"/>
          <w:highlight w:val="none"/>
          <w:lang w:val="en-US" w:eastAsia="zh-CN"/>
        </w:rPr>
        <w:t>或</w:t>
      </w:r>
      <w:r>
        <w:rPr>
          <w:rFonts w:hint="default" w:ascii="Times New Roman" w:hAnsi="Times New Roman" w:eastAsia="仿宋" w:cs="Times New Roman"/>
          <w:color w:val="auto"/>
          <w:sz w:val="32"/>
          <w:szCs w:val="32"/>
          <w:highlight w:val="none"/>
        </w:rPr>
        <w:t>广东省有关政策要求不符合、不兼容的，</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应通过</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平台公告、短信、电话等方式（至少选择其中一种）通知售电公司和</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用户在规定时间内完成变更。</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售电公司和</w:t>
      </w:r>
      <w:r>
        <w:rPr>
          <w:rFonts w:hint="eastAsia"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用户未在规定时间内按要求完成零售合同变更以适应法律法规</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国家</w:t>
      </w:r>
      <w:r>
        <w:rPr>
          <w:rFonts w:hint="eastAsia" w:ascii="Times New Roman" w:hAnsi="Times New Roman" w:eastAsia="仿宋" w:cs="Times New Roman"/>
          <w:color w:val="auto"/>
          <w:sz w:val="32"/>
          <w:szCs w:val="32"/>
          <w:highlight w:val="none"/>
          <w:lang w:val="en-US" w:eastAsia="zh-CN"/>
        </w:rPr>
        <w:t>或</w:t>
      </w:r>
      <w:r>
        <w:rPr>
          <w:rFonts w:hint="default" w:ascii="Times New Roman" w:hAnsi="Times New Roman" w:eastAsia="仿宋" w:cs="Times New Roman"/>
          <w:color w:val="auto"/>
          <w:sz w:val="32"/>
          <w:szCs w:val="32"/>
          <w:highlight w:val="none"/>
        </w:rPr>
        <w:t>广东省有关政策</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市场规则的要求，</w:t>
      </w:r>
      <w:r>
        <w:rPr>
          <w:rFonts w:hint="eastAsia" w:ascii="Times New Roman" w:hAnsi="Times New Roman" w:eastAsia="仿宋" w:cs="Times New Roman"/>
          <w:color w:val="auto"/>
          <w:sz w:val="32"/>
          <w:szCs w:val="32"/>
          <w:highlight w:val="none"/>
          <w:lang w:eastAsia="zh-CN"/>
        </w:rPr>
        <w:t>电力交易机构</w:t>
      </w:r>
      <w:r>
        <w:rPr>
          <w:rFonts w:hint="eastAsia" w:ascii="Times New Roman" w:hAnsi="Times New Roman" w:eastAsia="仿宋" w:cs="Times New Roman"/>
          <w:color w:val="auto"/>
          <w:sz w:val="32"/>
          <w:szCs w:val="32"/>
          <w:highlight w:val="none"/>
          <w:lang w:val="en-US" w:eastAsia="zh-CN"/>
        </w:rPr>
        <w:t>可强行</w:t>
      </w:r>
      <w:r>
        <w:rPr>
          <w:rFonts w:hint="default" w:ascii="Times New Roman" w:hAnsi="Times New Roman" w:eastAsia="仿宋" w:cs="Times New Roman"/>
          <w:color w:val="auto"/>
          <w:sz w:val="32"/>
          <w:szCs w:val="32"/>
          <w:highlight w:val="none"/>
        </w:rPr>
        <w:t>解除与其相关的零售关键信息登记，强制</w:t>
      </w:r>
      <w:r>
        <w:rPr>
          <w:rFonts w:hint="eastAsia" w:ascii="Times New Roman" w:hAnsi="Times New Roman" w:eastAsia="仿宋" w:cs="Times New Roman"/>
          <w:color w:val="auto"/>
          <w:sz w:val="32"/>
          <w:szCs w:val="32"/>
          <w:highlight w:val="none"/>
          <w:lang w:val="en-US" w:eastAsia="zh-CN"/>
        </w:rPr>
        <w:t>按照法律法规、政府政策、市场规则的要求执行交易及结算或者</w:t>
      </w:r>
      <w:r>
        <w:rPr>
          <w:rFonts w:hint="default" w:ascii="Times New Roman" w:hAnsi="Times New Roman" w:eastAsia="仿宋" w:cs="Times New Roman"/>
          <w:color w:val="auto"/>
          <w:sz w:val="32"/>
          <w:szCs w:val="32"/>
          <w:highlight w:val="none"/>
        </w:rPr>
        <w:t>终止市场化交易及结算</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有关后果由售电公司和零售用户自行承担</w:t>
      </w:r>
      <w:r>
        <w:rPr>
          <w:rFonts w:hint="default"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特殊处置</w:t>
      </w:r>
      <w:r>
        <w:rPr>
          <w:rFonts w:hint="default" w:ascii="Times New Roman" w:hAnsi="Times New Roman" w:eastAsia="仿宋" w:cs="Times New Roman"/>
          <w:color w:val="auto"/>
          <w:sz w:val="32"/>
          <w:szCs w:val="32"/>
          <w:highlight w:val="none"/>
        </w:rPr>
        <w:t>]零售关系存续期间，售电公司因退出市场等原因不能继续履行零售合同，</w:t>
      </w:r>
      <w:r>
        <w:rPr>
          <w:rFonts w:hint="eastAsia" w:ascii="Times New Roman" w:hAnsi="Times New Roman" w:eastAsia="仿宋" w:cs="Times New Roman"/>
          <w:color w:val="auto"/>
          <w:sz w:val="32"/>
          <w:szCs w:val="32"/>
          <w:highlight w:val="none"/>
          <w:lang w:eastAsia="zh-CN"/>
        </w:rPr>
        <w:t>电力交易机构</w:t>
      </w:r>
      <w:r>
        <w:rPr>
          <w:rFonts w:hint="eastAsia" w:ascii="Times New Roman" w:hAnsi="Times New Roman" w:eastAsia="仿宋" w:cs="Times New Roman"/>
          <w:color w:val="auto"/>
          <w:sz w:val="32"/>
          <w:szCs w:val="32"/>
          <w:highlight w:val="none"/>
          <w:lang w:val="en-US" w:eastAsia="zh-CN"/>
        </w:rPr>
        <w:t>不再根据相关零售</w:t>
      </w:r>
      <w:r>
        <w:rPr>
          <w:rFonts w:hint="default" w:ascii="Times New Roman" w:hAnsi="Times New Roman" w:eastAsia="仿宋" w:cs="Times New Roman"/>
          <w:color w:val="auto"/>
          <w:sz w:val="32"/>
          <w:szCs w:val="32"/>
          <w:highlight w:val="none"/>
        </w:rPr>
        <w:t>关键信息</w:t>
      </w:r>
      <w:r>
        <w:rPr>
          <w:rFonts w:hint="eastAsia" w:ascii="Times New Roman" w:hAnsi="Times New Roman" w:eastAsia="仿宋" w:cs="Times New Roman"/>
          <w:color w:val="auto"/>
          <w:sz w:val="32"/>
          <w:szCs w:val="32"/>
          <w:highlight w:val="none"/>
          <w:lang w:val="en-US" w:eastAsia="zh-CN"/>
        </w:rPr>
        <w:t>对该售电公司与零售用户</w:t>
      </w:r>
      <w:r>
        <w:rPr>
          <w:rFonts w:hint="default" w:ascii="Times New Roman" w:hAnsi="Times New Roman" w:eastAsia="仿宋" w:cs="Times New Roman"/>
          <w:color w:val="auto"/>
          <w:sz w:val="32"/>
          <w:szCs w:val="32"/>
          <w:highlight w:val="none"/>
        </w:rPr>
        <w:t>开展市场化交易及结算。</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89" w:name="_Toc11401"/>
      <w:bookmarkStart w:id="90" w:name="_Toc5223"/>
      <w:bookmarkStart w:id="91" w:name="_Toc21575"/>
      <w:bookmarkStart w:id="92" w:name="_Toc104490863"/>
      <w:bookmarkStart w:id="93" w:name="_Toc26464"/>
      <w:bookmarkStart w:id="94" w:name="_Toc29068"/>
      <w:bookmarkStart w:id="95" w:name="_Toc5922"/>
      <w:bookmarkStart w:id="96" w:name="_Toc12879"/>
      <w:bookmarkStart w:id="97" w:name="_Toc25628"/>
      <w:bookmarkStart w:id="98" w:name="_Toc7490"/>
      <w:bookmarkStart w:id="99" w:name="_Toc16985"/>
      <w:r>
        <w:rPr>
          <w:rFonts w:hint="default" w:ascii="黑体" w:hAnsi="黑体" w:eastAsia="黑体" w:cs="黑体"/>
          <w:b w:val="0"/>
          <w:bCs w:val="0"/>
          <w:color w:val="auto"/>
          <w:sz w:val="32"/>
          <w:szCs w:val="32"/>
          <w:highlight w:val="none"/>
        </w:rPr>
        <w:t>零售结算</w:t>
      </w:r>
      <w:bookmarkEnd w:id="88"/>
      <w:bookmarkEnd w:id="89"/>
      <w:bookmarkEnd w:id="90"/>
      <w:bookmarkEnd w:id="91"/>
      <w:bookmarkEnd w:id="92"/>
      <w:bookmarkEnd w:id="93"/>
      <w:bookmarkEnd w:id="94"/>
      <w:bookmarkEnd w:id="95"/>
      <w:bookmarkEnd w:id="96"/>
      <w:bookmarkEnd w:id="97"/>
      <w:bookmarkEnd w:id="98"/>
      <w:bookmarkEnd w:id="99"/>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月结月清]以自然月为周期，在零售用户实际用电的次月对零售双方的电费进行交割结算</w:t>
      </w:r>
      <w:r>
        <w:rPr>
          <w:rFonts w:hint="eastAsia" w:ascii="Times New Roman" w:hAnsi="Times New Roman" w:eastAsia="仿宋" w:cs="Times New Roman"/>
          <w:color w:val="auto"/>
          <w:sz w:val="32"/>
          <w:szCs w:val="32"/>
          <w:highlight w:val="none"/>
          <w:lang w:eastAsia="zh-CN"/>
        </w:rPr>
        <w:t>。</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退补原则</w:t>
      </w:r>
      <w:r>
        <w:rPr>
          <w:rFonts w:hint="default" w:ascii="Times New Roman" w:hAnsi="Times New Roman" w:eastAsia="仿宋" w:cs="Times New Roman"/>
          <w:color w:val="auto"/>
          <w:sz w:val="32"/>
          <w:szCs w:val="32"/>
          <w:highlight w:val="none"/>
        </w:rPr>
        <w:t>]因电量计量差错、系统异常</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政策规则变化等原因需要进行电量电费退补的，</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根据</w:t>
      </w:r>
      <w:r>
        <w:rPr>
          <w:rFonts w:hint="eastAsia" w:ascii="Times New Roman" w:hAnsi="Times New Roman" w:eastAsia="仿宋" w:cs="Times New Roman"/>
          <w:color w:val="auto"/>
          <w:sz w:val="32"/>
          <w:szCs w:val="32"/>
          <w:highlight w:val="none"/>
          <w:lang w:val="en-US" w:eastAsia="zh-CN"/>
        </w:rPr>
        <w:t>市场</w:t>
      </w:r>
      <w:r>
        <w:rPr>
          <w:rFonts w:hint="default" w:ascii="Times New Roman" w:hAnsi="Times New Roman" w:eastAsia="仿宋" w:cs="Times New Roman"/>
          <w:color w:val="auto"/>
          <w:sz w:val="32"/>
          <w:szCs w:val="32"/>
          <w:highlight w:val="none"/>
        </w:rPr>
        <w:t>规则或零售</w:t>
      </w:r>
      <w:r>
        <w:rPr>
          <w:rFonts w:hint="eastAsia" w:ascii="Times New Roman" w:hAnsi="Times New Roman" w:eastAsia="仿宋" w:cs="Times New Roman"/>
          <w:color w:val="auto"/>
          <w:sz w:val="32"/>
          <w:szCs w:val="32"/>
          <w:highlight w:val="none"/>
          <w:lang w:val="en-US" w:eastAsia="zh-CN"/>
        </w:rPr>
        <w:t>关键信息</w:t>
      </w:r>
      <w:r>
        <w:rPr>
          <w:rFonts w:hint="default" w:ascii="Times New Roman" w:hAnsi="Times New Roman" w:eastAsia="仿宋" w:cs="Times New Roman"/>
          <w:color w:val="auto"/>
          <w:sz w:val="32"/>
          <w:szCs w:val="32"/>
          <w:highlight w:val="none"/>
        </w:rPr>
        <w:t>开展电量电费退补工作</w:t>
      </w:r>
      <w:r>
        <w:rPr>
          <w:rFonts w:hint="eastAsia" w:ascii="Times New Roman" w:hAnsi="Times New Roman" w:eastAsia="仿宋" w:cs="Times New Roman"/>
          <w:color w:val="auto"/>
          <w:sz w:val="32"/>
          <w:szCs w:val="32"/>
          <w:highlight w:val="none"/>
          <w:lang w:eastAsia="zh-CN"/>
        </w:rPr>
        <w:t>。</w:t>
      </w:r>
    </w:p>
    <w:p>
      <w:pPr>
        <w:pStyle w:val="3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原则上每半年开展一次集中差错退补。电量差错退补调整追溯期原则上不超过</w:t>
      </w:r>
      <w:r>
        <w:rPr>
          <w:rFonts w:ascii="Times New Roman" w:hAnsi="Times New Roman" w:eastAsia="仿宋" w:cs="Times New Roman"/>
          <w:color w:val="auto"/>
          <w:sz w:val="32"/>
          <w:szCs w:val="32"/>
          <w:highlight w:val="none"/>
        </w:rPr>
        <w:t>12个月。</w:t>
      </w:r>
    </w:p>
    <w:p>
      <w:pPr>
        <w:pStyle w:val="38"/>
        <w:pageBreakBefore w:val="0"/>
        <w:numPr>
          <w:ilvl w:val="0"/>
          <w:numId w:val="4"/>
        </w:numPr>
        <w:kinsoku/>
        <w:wordWrap/>
        <w:overflowPunct/>
        <w:topLinePunct w:val="0"/>
        <w:autoSpaceDE/>
        <w:autoSpaceDN/>
        <w:bidi w:val="0"/>
        <w:adjustRightInd/>
        <w:snapToGrid/>
        <w:spacing w:line="58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结算流程</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根据在零售平台上登记的零售关键信息</w:t>
      </w:r>
      <w:r>
        <w:rPr>
          <w:rFonts w:hint="eastAsia" w:ascii="Times New Roman" w:hAnsi="Times New Roman" w:eastAsia="仿宋" w:cs="Times New Roman"/>
          <w:color w:val="auto"/>
          <w:sz w:val="32"/>
          <w:szCs w:val="32"/>
          <w:highlight w:val="none"/>
          <w:lang w:val="en-US" w:eastAsia="zh-CN"/>
        </w:rPr>
        <w:t>每月定期集中</w:t>
      </w:r>
      <w:r>
        <w:rPr>
          <w:rFonts w:hint="default" w:ascii="Times New Roman" w:hAnsi="Times New Roman" w:eastAsia="仿宋" w:cs="Times New Roman"/>
          <w:color w:val="auto"/>
          <w:sz w:val="32"/>
          <w:szCs w:val="32"/>
          <w:highlight w:val="none"/>
        </w:rPr>
        <w:t>计算电费</w:t>
      </w:r>
      <w:r>
        <w:rPr>
          <w:rFonts w:hint="eastAsia" w:ascii="Times New Roman" w:hAnsi="Times New Roman" w:eastAsia="仿宋" w:cs="Times New Roman"/>
          <w:color w:val="auto"/>
          <w:sz w:val="32"/>
          <w:szCs w:val="32"/>
          <w:highlight w:val="none"/>
          <w:lang w:val="en-US"/>
        </w:rPr>
        <w:t>并</w:t>
      </w:r>
      <w:r>
        <w:rPr>
          <w:rFonts w:hint="eastAsia" w:ascii="Times New Roman" w:hAnsi="Times New Roman" w:eastAsia="仿宋" w:cs="Times New Roman"/>
          <w:color w:val="auto"/>
          <w:sz w:val="32"/>
          <w:szCs w:val="32"/>
          <w:highlight w:val="none"/>
          <w:lang w:val="en-US" w:eastAsia="zh-CN"/>
        </w:rPr>
        <w:t>统一</w:t>
      </w:r>
      <w:r>
        <w:rPr>
          <w:rFonts w:hint="default" w:ascii="Times New Roman" w:hAnsi="Times New Roman" w:eastAsia="仿宋" w:cs="Times New Roman"/>
          <w:color w:val="auto"/>
          <w:sz w:val="32"/>
          <w:szCs w:val="32"/>
          <w:highlight w:val="none"/>
        </w:rPr>
        <w:t>出具</w:t>
      </w:r>
      <w:r>
        <w:rPr>
          <w:rFonts w:hint="eastAsia" w:ascii="Times New Roman" w:hAnsi="Times New Roman" w:eastAsia="仿宋" w:cs="Times New Roman"/>
          <w:color w:val="auto"/>
          <w:sz w:val="32"/>
          <w:szCs w:val="32"/>
          <w:highlight w:val="none"/>
          <w:lang w:val="en-US" w:eastAsia="zh-CN"/>
        </w:rPr>
        <w:t>市场主体的电费</w:t>
      </w:r>
      <w:r>
        <w:rPr>
          <w:rFonts w:hint="default" w:ascii="Times New Roman" w:hAnsi="Times New Roman" w:eastAsia="仿宋" w:cs="Times New Roman"/>
          <w:color w:val="auto"/>
          <w:sz w:val="32"/>
          <w:szCs w:val="32"/>
          <w:highlight w:val="none"/>
        </w:rPr>
        <w:t>结算依据。</w:t>
      </w:r>
    </w:p>
    <w:p>
      <w:pPr>
        <w:pStyle w:val="38"/>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市场主体应及时在零售平台对电费进行审核确认或异议反馈；逾期未反馈的，视为无异议。</w:t>
      </w:r>
    </w:p>
    <w:p>
      <w:pPr>
        <w:pStyle w:val="38"/>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电网企业根据结</w:t>
      </w:r>
      <w:r>
        <w:rPr>
          <w:rFonts w:hint="eastAsia" w:ascii="Times New Roman" w:hAnsi="Times New Roman" w:eastAsia="仿宋" w:cs="Times New Roman"/>
          <w:color w:val="auto"/>
          <w:sz w:val="32"/>
          <w:szCs w:val="32"/>
          <w:highlight w:val="none"/>
          <w:lang w:val="en-US" w:eastAsia="zh-CN"/>
        </w:rPr>
        <w:t>算依据对售电公司和零售用户出具结算凭据并进行资金结算</w:t>
      </w:r>
      <w:r>
        <w:rPr>
          <w:rFonts w:hint="default"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8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争议处理</w:t>
      </w:r>
      <w:r>
        <w:rPr>
          <w:rFonts w:hint="default" w:ascii="Times New Roman" w:hAnsi="Times New Roman" w:eastAsia="仿宋" w:cs="Times New Roman"/>
          <w:color w:val="auto"/>
          <w:sz w:val="32"/>
          <w:szCs w:val="32"/>
          <w:highlight w:val="none"/>
        </w:rPr>
        <w:t>]售电公司与零售用户之间因零售结算发生争议，双方协商解决。</w:t>
      </w:r>
    </w:p>
    <w:p>
      <w:pPr>
        <w:pStyle w:val="46"/>
        <w:pageBreakBefore w:val="0"/>
        <w:numPr>
          <w:ilvl w:val="0"/>
          <w:numId w:val="19"/>
        </w:numPr>
        <w:kinsoku/>
        <w:wordWrap/>
        <w:overflowPunct/>
        <w:topLinePunct w:val="0"/>
        <w:autoSpaceDE/>
        <w:autoSpaceDN/>
        <w:bidi w:val="0"/>
        <w:adjustRightInd/>
        <w:snapToGrid/>
        <w:spacing w:line="58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协商无法解决的，</w:t>
      </w:r>
      <w:r>
        <w:rPr>
          <w:rFonts w:hint="eastAsia" w:cs="Times New Roman"/>
          <w:color w:val="auto"/>
          <w:sz w:val="32"/>
          <w:szCs w:val="32"/>
          <w:highlight w:val="none"/>
          <w:lang w:val="en-US"/>
        </w:rPr>
        <w:t>可</w:t>
      </w:r>
      <w:r>
        <w:rPr>
          <w:rFonts w:hint="default" w:ascii="Times New Roman" w:hAnsi="Times New Roman" w:cs="Times New Roman"/>
          <w:color w:val="auto"/>
          <w:sz w:val="32"/>
          <w:szCs w:val="32"/>
          <w:highlight w:val="none"/>
        </w:rPr>
        <w:t>由售电公司或零售用户任何一方书面向市场管理委员会提交争议协调申请，</w:t>
      </w:r>
      <w:r>
        <w:rPr>
          <w:rFonts w:hint="eastAsia" w:cs="Times New Roman"/>
          <w:color w:val="auto"/>
          <w:sz w:val="32"/>
          <w:szCs w:val="32"/>
          <w:highlight w:val="none"/>
          <w:lang w:val="en-US" w:eastAsia="zh-CN"/>
        </w:rPr>
        <w:t>申请</w:t>
      </w:r>
      <w:r>
        <w:rPr>
          <w:rFonts w:hint="default" w:ascii="Times New Roman" w:hAnsi="Times New Roman" w:cs="Times New Roman"/>
          <w:color w:val="auto"/>
          <w:sz w:val="32"/>
          <w:szCs w:val="32"/>
          <w:highlight w:val="none"/>
        </w:rPr>
        <w:t>内容包括</w:t>
      </w:r>
      <w:r>
        <w:rPr>
          <w:rFonts w:hint="eastAsia" w:cs="Times New Roman"/>
          <w:color w:val="auto"/>
          <w:sz w:val="32"/>
          <w:szCs w:val="32"/>
          <w:highlight w:val="none"/>
          <w:lang w:val="en-US" w:eastAsia="zh-CN"/>
        </w:rPr>
        <w:t>但不限于</w:t>
      </w:r>
      <w:r>
        <w:rPr>
          <w:rFonts w:hint="default" w:ascii="Times New Roman" w:hAnsi="Times New Roman" w:cs="Times New Roman"/>
          <w:color w:val="auto"/>
          <w:sz w:val="32"/>
          <w:szCs w:val="32"/>
          <w:highlight w:val="none"/>
        </w:rPr>
        <w:t>争议合同约定方式、内容、协商过程等。</w:t>
      </w:r>
      <w:r>
        <w:rPr>
          <w:rFonts w:hint="eastAsia" w:cs="Times New Roman"/>
          <w:color w:val="auto"/>
          <w:sz w:val="32"/>
          <w:szCs w:val="32"/>
          <w:highlight w:val="none"/>
          <w:lang w:val="en-US" w:eastAsia="zh-CN"/>
        </w:rPr>
        <w:t>经</w:t>
      </w:r>
      <w:r>
        <w:rPr>
          <w:rFonts w:hint="default" w:ascii="Times New Roman" w:hAnsi="Times New Roman" w:cs="Times New Roman"/>
          <w:color w:val="auto"/>
          <w:sz w:val="32"/>
          <w:szCs w:val="32"/>
          <w:highlight w:val="none"/>
        </w:rPr>
        <w:t>市场管理委员会组织协调未达成一致的，可由售电公司或零售用户根据合同约定申请仲裁或</w:t>
      </w:r>
      <w:r>
        <w:rPr>
          <w:rFonts w:hint="eastAsia" w:cs="Times New Roman"/>
          <w:color w:val="auto"/>
          <w:sz w:val="32"/>
          <w:szCs w:val="32"/>
          <w:highlight w:val="none"/>
          <w:lang w:val="en-US" w:eastAsia="zh-CN"/>
        </w:rPr>
        <w:t>提起</w:t>
      </w:r>
      <w:r>
        <w:rPr>
          <w:rFonts w:hint="default" w:ascii="Times New Roman" w:hAnsi="Times New Roman" w:cs="Times New Roman"/>
          <w:color w:val="auto"/>
          <w:sz w:val="32"/>
          <w:szCs w:val="32"/>
          <w:highlight w:val="none"/>
        </w:rPr>
        <w:t>诉讼。</w:t>
      </w:r>
    </w:p>
    <w:p>
      <w:pPr>
        <w:pStyle w:val="46"/>
        <w:pageBreakBefore w:val="0"/>
        <w:numPr>
          <w:ilvl w:val="0"/>
          <w:numId w:val="19"/>
        </w:numPr>
        <w:kinsoku/>
        <w:wordWrap/>
        <w:overflowPunct/>
        <w:topLinePunct w:val="0"/>
        <w:autoSpaceDE/>
        <w:autoSpaceDN/>
        <w:bidi w:val="0"/>
        <w:adjustRightInd/>
        <w:snapToGrid/>
        <w:spacing w:line="580" w:lineRule="exact"/>
        <w:ind w:firstLine="960" w:firstLineChars="300"/>
        <w:textAlignment w:val="auto"/>
        <w:rPr>
          <w:rFonts w:ascii="Times New Roman" w:hAnsi="Times New Roman" w:cs="Times New Roman"/>
          <w:color w:val="auto"/>
          <w:sz w:val="32"/>
          <w:szCs w:val="32"/>
          <w:highlight w:val="none"/>
        </w:rPr>
      </w:pPr>
      <w:r>
        <w:rPr>
          <w:rFonts w:hint="eastAsia" w:cs="Times New Roman"/>
          <w:color w:val="auto"/>
          <w:sz w:val="32"/>
          <w:szCs w:val="32"/>
          <w:highlight w:val="none"/>
          <w:lang w:val="en-US" w:eastAsia="zh-CN"/>
        </w:rPr>
        <w:t>电力交易机构</w:t>
      </w:r>
      <w:r>
        <w:rPr>
          <w:rFonts w:hint="default" w:ascii="Times New Roman" w:hAnsi="Times New Roman" w:cs="Times New Roman"/>
          <w:color w:val="auto"/>
          <w:sz w:val="32"/>
          <w:szCs w:val="32"/>
          <w:highlight w:val="none"/>
        </w:rPr>
        <w:t>按照零售平台已固化的结算模式先进行结算</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rPr>
        <w:t>事后</w:t>
      </w:r>
      <w:r>
        <w:rPr>
          <w:rFonts w:hint="eastAsia" w:cs="Times New Roman"/>
          <w:color w:val="auto"/>
          <w:sz w:val="32"/>
          <w:szCs w:val="32"/>
          <w:highlight w:val="none"/>
          <w:lang w:val="en-US" w:eastAsia="zh-CN"/>
        </w:rPr>
        <w:t>市场主体双方</w:t>
      </w:r>
      <w:r>
        <w:rPr>
          <w:rFonts w:hint="default" w:ascii="Times New Roman" w:hAnsi="Times New Roman" w:cs="Times New Roman"/>
          <w:color w:val="auto"/>
          <w:sz w:val="32"/>
          <w:szCs w:val="32"/>
          <w:highlight w:val="none"/>
        </w:rPr>
        <w:t>根据协商</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协调</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仲裁或诉讼的结果进行</w:t>
      </w:r>
      <w:r>
        <w:rPr>
          <w:rFonts w:hint="default" w:ascii="Times New Roman" w:hAnsi="Times New Roman" w:cs="Times New Roman"/>
          <w:color w:val="auto"/>
          <w:sz w:val="32"/>
          <w:szCs w:val="32"/>
          <w:highlight w:val="none"/>
        </w:rPr>
        <w:t>处理</w:t>
      </w:r>
      <w:r>
        <w:rPr>
          <w:rFonts w:hint="eastAsia" w:cs="Times New Roman"/>
          <w:color w:val="auto"/>
          <w:sz w:val="32"/>
          <w:szCs w:val="32"/>
          <w:highlight w:val="none"/>
          <w:lang w:eastAsia="zh-CN"/>
        </w:rPr>
        <w:t>。</w:t>
      </w:r>
    </w:p>
    <w:p>
      <w:pPr>
        <w:pStyle w:val="38"/>
        <w:pageBreakBefore w:val="0"/>
        <w:numPr>
          <w:ilvl w:val="0"/>
          <w:numId w:val="4"/>
        </w:numPr>
        <w:kinsoku/>
        <w:wordWrap/>
        <w:overflowPunct/>
        <w:topLinePunct w:val="0"/>
        <w:autoSpaceDE/>
        <w:autoSpaceDN/>
        <w:bidi w:val="0"/>
        <w:adjustRightInd/>
        <w:snapToGrid/>
        <w:spacing w:line="58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紧急措施</w:t>
      </w:r>
      <w:r>
        <w:rPr>
          <w:rFonts w:hint="default" w:ascii="Times New Roman" w:hAnsi="Times New Roman" w:eastAsia="仿宋" w:cs="Times New Roman"/>
          <w:color w:val="auto"/>
          <w:sz w:val="32"/>
          <w:szCs w:val="32"/>
          <w:highlight w:val="none"/>
        </w:rPr>
        <w:t>]因</w:t>
      </w:r>
      <w:r>
        <w:rPr>
          <w:rFonts w:hint="eastAsia" w:ascii="Times New Roman" w:hAnsi="Times New Roman" w:eastAsia="仿宋" w:cs="Times New Roman"/>
          <w:color w:val="auto"/>
          <w:sz w:val="32"/>
          <w:szCs w:val="32"/>
          <w:highlight w:val="none"/>
          <w:lang w:eastAsia="zh-CN"/>
        </w:rPr>
        <w:t>重大</w:t>
      </w:r>
      <w:r>
        <w:rPr>
          <w:rFonts w:hint="default" w:ascii="Times New Roman" w:hAnsi="Times New Roman" w:eastAsia="仿宋" w:cs="Times New Roman"/>
          <w:color w:val="auto"/>
          <w:sz w:val="32"/>
          <w:szCs w:val="32"/>
          <w:highlight w:val="none"/>
        </w:rPr>
        <w:t>突发性事件导致零售交易结果出现重大异常，</w:t>
      </w:r>
      <w:r>
        <w:rPr>
          <w:rFonts w:hint="eastAsia" w:ascii="Times New Roman" w:hAnsi="Times New Roman" w:eastAsia="仿宋" w:cs="Times New Roman"/>
          <w:color w:val="auto"/>
          <w:sz w:val="32"/>
          <w:szCs w:val="32"/>
          <w:highlight w:val="none"/>
          <w:lang w:val="en-US"/>
        </w:rPr>
        <w:t>若</w:t>
      </w:r>
      <w:r>
        <w:rPr>
          <w:rFonts w:hint="default" w:ascii="Times New Roman" w:hAnsi="Times New Roman" w:eastAsia="仿宋" w:cs="Times New Roman"/>
          <w:color w:val="auto"/>
          <w:sz w:val="32"/>
          <w:szCs w:val="32"/>
          <w:highlight w:val="none"/>
        </w:rPr>
        <w:t>按交易结果进行结算交割</w:t>
      </w: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rPr>
        <w:t>导致</w:t>
      </w:r>
      <w:r>
        <w:rPr>
          <w:rFonts w:hint="default" w:ascii="Times New Roman" w:hAnsi="Times New Roman" w:eastAsia="仿宋" w:cs="Times New Roman"/>
          <w:color w:val="auto"/>
          <w:sz w:val="32"/>
          <w:szCs w:val="32"/>
          <w:highlight w:val="none"/>
        </w:rPr>
        <w:t>电力零售交易</w:t>
      </w:r>
      <w:r>
        <w:rPr>
          <w:rFonts w:hint="eastAsia" w:ascii="Times New Roman" w:hAnsi="Times New Roman" w:eastAsia="仿宋" w:cs="Times New Roman"/>
          <w:color w:val="auto"/>
          <w:sz w:val="32"/>
          <w:szCs w:val="32"/>
          <w:highlight w:val="none"/>
          <w:lang w:val="en-US"/>
        </w:rPr>
        <w:t>产生负面影响</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rPr>
        <w:t>可由</w:t>
      </w:r>
      <w:r>
        <w:rPr>
          <w:rFonts w:hint="eastAsia" w:ascii="Times New Roman" w:hAnsi="Times New Roman" w:eastAsia="仿宋" w:cs="Times New Roman"/>
          <w:color w:val="auto"/>
          <w:sz w:val="32"/>
          <w:szCs w:val="32"/>
          <w:highlight w:val="none"/>
          <w:lang w:eastAsia="zh-CN"/>
        </w:rPr>
        <w:t>电力交易机构按程序</w:t>
      </w:r>
      <w:r>
        <w:rPr>
          <w:rFonts w:hint="default" w:ascii="Times New Roman" w:hAnsi="Times New Roman" w:eastAsia="仿宋" w:cs="Times New Roman"/>
          <w:color w:val="auto"/>
          <w:sz w:val="32"/>
          <w:szCs w:val="32"/>
          <w:highlight w:val="none"/>
        </w:rPr>
        <w:t>采取</w:t>
      </w:r>
      <w:r>
        <w:rPr>
          <w:rFonts w:hint="eastAsia" w:ascii="Times New Roman" w:hAnsi="Times New Roman" w:eastAsia="仿宋" w:cs="Times New Roman"/>
          <w:color w:val="auto"/>
          <w:sz w:val="32"/>
          <w:szCs w:val="32"/>
          <w:highlight w:val="none"/>
          <w:lang w:val="en-US" w:eastAsia="zh-CN"/>
        </w:rPr>
        <w:t>暂停</w:t>
      </w:r>
      <w:r>
        <w:rPr>
          <w:rFonts w:hint="default" w:ascii="Times New Roman" w:hAnsi="Times New Roman" w:eastAsia="仿宋" w:cs="Times New Roman"/>
          <w:color w:val="auto"/>
          <w:sz w:val="32"/>
          <w:szCs w:val="32"/>
          <w:highlight w:val="none"/>
        </w:rPr>
        <w:t>交易结算等措施，并应当及时向</w:t>
      </w:r>
      <w:r>
        <w:rPr>
          <w:rFonts w:hint="eastAsia" w:ascii="Times New Roman" w:hAnsi="Times New Roman" w:eastAsia="仿宋" w:cs="Times New Roman"/>
          <w:color w:val="auto"/>
          <w:sz w:val="32"/>
          <w:szCs w:val="32"/>
          <w:highlight w:val="none"/>
          <w:lang w:eastAsia="zh-CN"/>
        </w:rPr>
        <w:t>政府主管部门和能源监管机构</w:t>
      </w:r>
      <w:r>
        <w:rPr>
          <w:rFonts w:hint="default" w:ascii="Times New Roman" w:hAnsi="Times New Roman" w:eastAsia="仿宋" w:cs="Times New Roman"/>
          <w:color w:val="auto"/>
          <w:sz w:val="32"/>
          <w:szCs w:val="32"/>
          <w:highlight w:val="none"/>
        </w:rPr>
        <w:t>报告</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后续按照本办法第三十六条方式处理。</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80" w:lineRule="exact"/>
        <w:ind w:firstLineChars="0"/>
        <w:jc w:val="center"/>
        <w:textAlignment w:val="auto"/>
        <w:rPr>
          <w:rFonts w:hint="eastAsia" w:ascii="黑体" w:hAnsi="黑体" w:eastAsia="黑体" w:cs="黑体"/>
          <w:b w:val="0"/>
          <w:bCs w:val="0"/>
          <w:color w:val="auto"/>
          <w:sz w:val="32"/>
          <w:szCs w:val="32"/>
          <w:highlight w:val="none"/>
        </w:rPr>
      </w:pPr>
      <w:bookmarkStart w:id="100" w:name="_Toc3305"/>
      <w:bookmarkStart w:id="101" w:name="_Toc25104"/>
      <w:bookmarkStart w:id="102" w:name="_Toc1162"/>
      <w:bookmarkStart w:id="103" w:name="_Toc30126"/>
      <w:bookmarkStart w:id="104" w:name="_Toc17319"/>
      <w:bookmarkStart w:id="105" w:name="_Toc29290"/>
      <w:bookmarkStart w:id="106" w:name="_Toc104490864"/>
      <w:bookmarkStart w:id="107" w:name="_Toc7507"/>
      <w:bookmarkStart w:id="108" w:name="_Toc24186"/>
      <w:bookmarkStart w:id="109" w:name="_Toc29968"/>
      <w:bookmarkStart w:id="110" w:name="_Toc68"/>
      <w:bookmarkStart w:id="111" w:name="_Toc103787856"/>
      <w:r>
        <w:rPr>
          <w:rFonts w:hint="eastAsia" w:ascii="黑体" w:hAnsi="黑体" w:eastAsia="黑体" w:cs="黑体"/>
          <w:b w:val="0"/>
          <w:bCs w:val="0"/>
          <w:color w:val="auto"/>
          <w:sz w:val="32"/>
          <w:szCs w:val="32"/>
          <w:highlight w:val="none"/>
        </w:rPr>
        <w:t>市场服务</w:t>
      </w:r>
      <w:bookmarkEnd w:id="100"/>
      <w:bookmarkEnd w:id="101"/>
      <w:bookmarkEnd w:id="102"/>
      <w:bookmarkEnd w:id="103"/>
      <w:bookmarkEnd w:id="104"/>
      <w:bookmarkEnd w:id="105"/>
      <w:bookmarkEnd w:id="106"/>
      <w:bookmarkEnd w:id="107"/>
      <w:bookmarkEnd w:id="108"/>
      <w:bookmarkEnd w:id="109"/>
      <w:bookmarkEnd w:id="110"/>
      <w:bookmarkEnd w:id="111"/>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零售市场服务]</w:t>
      </w:r>
      <w:r>
        <w:rPr>
          <w:rFonts w:hint="default" w:ascii="Times New Roman" w:hAnsi="Times New Roman" w:eastAsia="仿宋" w:cs="Times New Roman"/>
          <w:color w:val="auto"/>
          <w:sz w:val="32"/>
          <w:szCs w:val="32"/>
          <w:highlight w:val="none"/>
          <w:lang w:val="en-US" w:eastAsia="zh-CN"/>
        </w:rPr>
        <w:t>零售市场服务包括零售市场管理服务和零售市场基础服务</w:t>
      </w:r>
      <w:r>
        <w:rPr>
          <w:rFonts w:hint="default" w:ascii="Times New Roman" w:hAnsi="Times New Roman" w:eastAsia="仿宋" w:cs="Times New Roman"/>
          <w:color w:val="auto"/>
          <w:sz w:val="32"/>
          <w:szCs w:val="32"/>
          <w:highlight w:val="none"/>
        </w:rPr>
        <w:t>。</w:t>
      </w:r>
    </w:p>
    <w:p>
      <w:pPr>
        <w:pStyle w:val="46"/>
        <w:pageBreakBefore w:val="0"/>
        <w:numPr>
          <w:ilvl w:val="0"/>
          <w:numId w:val="20"/>
        </w:numPr>
        <w:kinsoku/>
        <w:wordWrap/>
        <w:overflowPunct/>
        <w:topLinePunct w:val="0"/>
        <w:autoSpaceDE/>
        <w:autoSpaceDN/>
        <w:bidi w:val="0"/>
        <w:adjustRightInd/>
        <w:snapToGrid/>
        <w:spacing w:line="560" w:lineRule="exact"/>
        <w:ind w:firstLineChars="0"/>
        <w:jc w:val="center"/>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零售市场管理服务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零售市场管理服务</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零售市场管理服务</w:t>
      </w:r>
      <w:r>
        <w:rPr>
          <w:rFonts w:hint="eastAsia" w:ascii="Times New Roman" w:hAnsi="Times New Roman" w:eastAsia="仿宋" w:cs="Times New Roman"/>
          <w:color w:val="auto"/>
          <w:sz w:val="32"/>
          <w:szCs w:val="32"/>
          <w:highlight w:val="none"/>
          <w:lang w:val="en-US" w:eastAsia="zh-CN"/>
        </w:rPr>
        <w:t>，是</w:t>
      </w:r>
      <w:r>
        <w:rPr>
          <w:rFonts w:hint="default" w:ascii="Times New Roman" w:hAnsi="Times New Roman" w:eastAsia="仿宋" w:cs="Times New Roman"/>
          <w:color w:val="auto"/>
          <w:sz w:val="32"/>
          <w:szCs w:val="32"/>
          <w:highlight w:val="none"/>
          <w:lang w:val="en-US" w:eastAsia="zh-CN"/>
        </w:rPr>
        <w:t>指</w:t>
      </w:r>
      <w:r>
        <w:rPr>
          <w:rFonts w:hint="eastAsia" w:ascii="Times New Roman" w:hAnsi="Times New Roman" w:eastAsia="仿宋" w:cs="Times New Roman"/>
          <w:color w:val="auto"/>
          <w:sz w:val="32"/>
          <w:szCs w:val="32"/>
          <w:highlight w:val="none"/>
          <w:lang w:val="en-US" w:eastAsia="zh-CN"/>
        </w:rPr>
        <w:t>电力交易机构为</w:t>
      </w:r>
      <w:r>
        <w:rPr>
          <w:rFonts w:hint="default" w:ascii="Times New Roman" w:hAnsi="Times New Roman" w:eastAsia="仿宋" w:cs="Times New Roman"/>
          <w:color w:val="auto"/>
          <w:sz w:val="32"/>
          <w:szCs w:val="32"/>
          <w:highlight w:val="none"/>
          <w:lang w:val="en-US" w:eastAsia="zh-CN"/>
        </w:rPr>
        <w:t>售电公司</w:t>
      </w:r>
      <w:r>
        <w:rPr>
          <w:rFonts w:hint="eastAsia" w:ascii="Times New Roman" w:hAnsi="Times New Roman" w:eastAsia="仿宋" w:cs="Times New Roman"/>
          <w:color w:val="auto"/>
          <w:sz w:val="32"/>
          <w:szCs w:val="32"/>
          <w:highlight w:val="none"/>
          <w:lang w:val="en-US" w:eastAsia="zh-CN"/>
        </w:rPr>
        <w:t>、零售用户提供的零售市场市场</w:t>
      </w:r>
      <w:r>
        <w:rPr>
          <w:rFonts w:hint="default" w:ascii="Times New Roman" w:hAnsi="Times New Roman" w:eastAsia="仿宋" w:cs="Times New Roman"/>
          <w:color w:val="auto"/>
          <w:sz w:val="32"/>
          <w:szCs w:val="32"/>
          <w:highlight w:val="none"/>
          <w:lang w:val="en-US" w:eastAsia="zh-CN"/>
        </w:rPr>
        <w:t>服务</w:t>
      </w:r>
      <w:r>
        <w:rPr>
          <w:rFonts w:hint="eastAsia" w:ascii="Times New Roman" w:hAnsi="Times New Roman" w:eastAsia="仿宋" w:cs="Times New Roman"/>
          <w:color w:val="auto"/>
          <w:sz w:val="32"/>
          <w:szCs w:val="32"/>
          <w:highlight w:val="none"/>
          <w:lang w:val="en-US" w:eastAsia="zh-CN"/>
        </w:rPr>
        <w:t>，包括但不限于</w:t>
      </w:r>
      <w:r>
        <w:rPr>
          <w:rFonts w:hint="default" w:ascii="Times New Roman" w:hAnsi="Times New Roman" w:eastAsia="仿宋" w:cs="Times New Roman"/>
          <w:color w:val="auto"/>
          <w:sz w:val="32"/>
          <w:szCs w:val="32"/>
          <w:highlight w:val="none"/>
          <w:lang w:val="en-US" w:eastAsia="zh-CN"/>
        </w:rPr>
        <w:t>规范零售市场</w:t>
      </w:r>
      <w:r>
        <w:rPr>
          <w:rFonts w:hint="eastAsia" w:ascii="Times New Roman" w:hAnsi="Times New Roman" w:eastAsia="仿宋" w:cs="Times New Roman"/>
          <w:color w:val="auto"/>
          <w:sz w:val="32"/>
          <w:szCs w:val="32"/>
          <w:highlight w:val="none"/>
          <w:lang w:val="en-US" w:eastAsia="zh-CN"/>
        </w:rPr>
        <w:t>基础</w:t>
      </w:r>
      <w:r>
        <w:rPr>
          <w:rFonts w:hint="default" w:ascii="Times New Roman" w:hAnsi="Times New Roman" w:eastAsia="仿宋" w:cs="Times New Roman"/>
          <w:color w:val="auto"/>
          <w:sz w:val="32"/>
          <w:szCs w:val="32"/>
          <w:highlight w:val="none"/>
          <w:lang w:val="en-US" w:eastAsia="zh-CN"/>
        </w:rPr>
        <w:t>服务行为，受理服务意见建议</w:t>
      </w:r>
      <w:r>
        <w:rPr>
          <w:rFonts w:hint="eastAsia" w:ascii="Times New Roman" w:hAnsi="Times New Roman" w:eastAsia="仿宋" w:cs="Times New Roman"/>
          <w:color w:val="auto"/>
          <w:sz w:val="32"/>
          <w:szCs w:val="32"/>
          <w:highlight w:val="none"/>
          <w:lang w:val="en-US" w:eastAsia="zh-CN"/>
        </w:rPr>
        <w:t>，提供注册、交易、结算等服务。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服务要求</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负责受理处置市场主体对零售市场相关意见建议</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负责建立</w:t>
      </w:r>
      <w:r>
        <w:rPr>
          <w:rFonts w:hint="eastAsia" w:ascii="Times New Roman" w:hAnsi="Times New Roman" w:eastAsia="仿宋" w:cs="Times New Roman"/>
          <w:color w:val="auto"/>
          <w:sz w:val="32"/>
          <w:szCs w:val="32"/>
          <w:highlight w:val="none"/>
          <w:lang w:val="en-US" w:eastAsia="zh-CN"/>
        </w:rPr>
        <w:t>统一的</w:t>
      </w:r>
      <w:r>
        <w:rPr>
          <w:rFonts w:hint="default" w:ascii="Times New Roman" w:hAnsi="Times New Roman" w:eastAsia="仿宋" w:cs="Times New Roman"/>
          <w:color w:val="auto"/>
          <w:sz w:val="32"/>
          <w:szCs w:val="32"/>
          <w:highlight w:val="none"/>
        </w:rPr>
        <w:t>零售市场</w:t>
      </w:r>
      <w:r>
        <w:rPr>
          <w:rFonts w:hint="eastAsia" w:ascii="Times New Roman" w:hAnsi="Times New Roman" w:eastAsia="仿宋" w:cs="Times New Roman"/>
          <w:color w:val="auto"/>
          <w:sz w:val="32"/>
          <w:szCs w:val="32"/>
          <w:highlight w:val="none"/>
          <w:lang w:val="en-US" w:eastAsia="zh-CN"/>
        </w:rPr>
        <w:t>基础</w:t>
      </w:r>
      <w:r>
        <w:rPr>
          <w:rFonts w:hint="default" w:ascii="Times New Roman" w:hAnsi="Times New Roman" w:eastAsia="仿宋" w:cs="Times New Roman"/>
          <w:color w:val="auto"/>
          <w:sz w:val="32"/>
          <w:szCs w:val="32"/>
          <w:highlight w:val="none"/>
        </w:rPr>
        <w:t>服务标准，指导售电公司开展一般性咨询服务</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引导售电公司规范服务流程，</w:t>
      </w:r>
      <w:r>
        <w:rPr>
          <w:rFonts w:hint="eastAsia" w:ascii="Times New Roman" w:hAnsi="Times New Roman" w:eastAsia="仿宋" w:cs="Times New Roman"/>
          <w:color w:val="auto"/>
          <w:sz w:val="32"/>
          <w:szCs w:val="32"/>
          <w:highlight w:val="none"/>
          <w:lang w:val="en-US" w:eastAsia="zh-CN"/>
        </w:rPr>
        <w:t>提升服务水平</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适时组织开展零售市场主体</w:t>
      </w:r>
      <w:r>
        <w:rPr>
          <w:rFonts w:hint="default" w:ascii="Times New Roman" w:hAnsi="Times New Roman" w:eastAsia="仿宋" w:cs="Times New Roman"/>
          <w:color w:val="auto"/>
          <w:sz w:val="32"/>
          <w:szCs w:val="32"/>
          <w:highlight w:val="none"/>
          <w:lang w:val="en-US" w:eastAsia="zh-CN"/>
        </w:rPr>
        <w:t>分维度</w:t>
      </w:r>
      <w:r>
        <w:rPr>
          <w:rFonts w:hint="eastAsia" w:ascii="Times New Roman" w:hAnsi="Times New Roman" w:eastAsia="仿宋" w:cs="Times New Roman"/>
          <w:color w:val="auto"/>
          <w:sz w:val="32"/>
          <w:szCs w:val="32"/>
          <w:highlight w:val="none"/>
          <w:lang w:val="en-US" w:eastAsia="zh-CN"/>
        </w:rPr>
        <w:t>互相评价，建立零售服务评价管理与应用体系。</w:t>
      </w:r>
    </w:p>
    <w:p>
      <w:pPr>
        <w:pStyle w:val="46"/>
        <w:pageBreakBefore w:val="0"/>
        <w:numPr>
          <w:ilvl w:val="0"/>
          <w:numId w:val="20"/>
        </w:numPr>
        <w:kinsoku/>
        <w:wordWrap/>
        <w:overflowPunct/>
        <w:topLinePunct w:val="0"/>
        <w:autoSpaceDE/>
        <w:autoSpaceDN/>
        <w:bidi w:val="0"/>
        <w:adjustRightInd/>
        <w:snapToGrid/>
        <w:spacing w:line="560" w:lineRule="exact"/>
        <w:ind w:firstLineChars="0"/>
        <w:jc w:val="center"/>
        <w:textAlignment w:val="auto"/>
        <w:rPr>
          <w:rFonts w:hint="default" w:ascii="方正楷体简体" w:hAnsi="方正楷体简体" w:eastAsia="方正楷体简体" w:cs="方正楷体简体"/>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零售市场基础服务</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[零售市场基础服务</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零售市场基础服务</w:t>
      </w:r>
      <w:r>
        <w:rPr>
          <w:rFonts w:hint="eastAsia" w:ascii="Times New Roman" w:hAnsi="Times New Roman" w:eastAsia="仿宋" w:cs="Times New Roman"/>
          <w:color w:val="auto"/>
          <w:sz w:val="32"/>
          <w:szCs w:val="32"/>
          <w:highlight w:val="none"/>
          <w:lang w:val="en-US" w:eastAsia="zh-CN"/>
        </w:rPr>
        <w:t>，是</w:t>
      </w:r>
      <w:r>
        <w:rPr>
          <w:rFonts w:hint="default" w:ascii="Times New Roman" w:hAnsi="Times New Roman" w:eastAsia="仿宋" w:cs="Times New Roman"/>
          <w:color w:val="auto"/>
          <w:sz w:val="32"/>
          <w:szCs w:val="32"/>
          <w:highlight w:val="none"/>
          <w:lang w:val="en-US" w:eastAsia="zh-CN"/>
        </w:rPr>
        <w:t>指售电公司向零售用户提供的一般性问题咨询、套餐价格咨询</w:t>
      </w:r>
      <w:r>
        <w:rPr>
          <w:rFonts w:hint="eastAsia" w:ascii="Times New Roman" w:hAnsi="Times New Roman" w:eastAsia="仿宋" w:cs="Times New Roman"/>
          <w:color w:val="auto"/>
          <w:sz w:val="32"/>
          <w:szCs w:val="32"/>
          <w:highlight w:val="none"/>
          <w:lang w:val="en-US" w:eastAsia="zh-CN"/>
        </w:rPr>
        <w:t>、适当性管理</w:t>
      </w:r>
      <w:r>
        <w:rPr>
          <w:rFonts w:hint="default" w:ascii="Times New Roman" w:hAnsi="Times New Roman" w:eastAsia="仿宋" w:cs="Times New Roman"/>
          <w:color w:val="auto"/>
          <w:sz w:val="32"/>
          <w:szCs w:val="32"/>
          <w:highlight w:val="none"/>
          <w:lang w:val="en-US" w:eastAsia="zh-CN"/>
        </w:rPr>
        <w:t>等</w:t>
      </w:r>
      <w:r>
        <w:rPr>
          <w:rFonts w:hint="eastAsia" w:ascii="Times New Roman" w:hAnsi="Times New Roman" w:eastAsia="仿宋" w:cs="Times New Roman"/>
          <w:color w:val="auto"/>
          <w:sz w:val="32"/>
          <w:szCs w:val="32"/>
          <w:highlight w:val="none"/>
          <w:lang w:val="en-US" w:eastAsia="zh-CN"/>
        </w:rPr>
        <w:t>售电</w:t>
      </w:r>
      <w:r>
        <w:rPr>
          <w:rFonts w:hint="default" w:ascii="Times New Roman" w:hAnsi="Times New Roman" w:eastAsia="仿宋" w:cs="Times New Roman"/>
          <w:color w:val="auto"/>
          <w:sz w:val="32"/>
          <w:szCs w:val="32"/>
          <w:highlight w:val="none"/>
          <w:lang w:val="en-US" w:eastAsia="zh-CN"/>
        </w:rPr>
        <w:t>服务。</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服务要求</w:t>
      </w:r>
      <w:r>
        <w:rPr>
          <w:rFonts w:hint="default" w:ascii="Times New Roman" w:hAnsi="Times New Roman" w:eastAsia="仿宋" w:cs="Times New Roman"/>
          <w:color w:val="auto"/>
          <w:sz w:val="32"/>
          <w:szCs w:val="32"/>
          <w:highlight w:val="none"/>
        </w:rPr>
        <w:t>]售电公司应具备</w:t>
      </w:r>
      <w:r>
        <w:rPr>
          <w:rFonts w:hint="eastAsia" w:ascii="Times New Roman" w:hAnsi="Times New Roman" w:eastAsia="仿宋" w:cs="Times New Roman"/>
          <w:color w:val="auto"/>
          <w:sz w:val="32"/>
          <w:szCs w:val="32"/>
          <w:highlight w:val="none"/>
          <w:lang w:val="en-US" w:eastAsia="zh-CN"/>
        </w:rPr>
        <w:t>与售电规模相适应</w:t>
      </w:r>
      <w:r>
        <w:rPr>
          <w:rFonts w:hint="default" w:ascii="Times New Roman" w:hAnsi="Times New Roman" w:eastAsia="仿宋" w:cs="Times New Roman"/>
          <w:color w:val="auto"/>
          <w:sz w:val="32"/>
          <w:szCs w:val="32"/>
          <w:highlight w:val="none"/>
        </w:rPr>
        <w:t>的客服代表，谨慎、勤勉、尽责地向</w:t>
      </w:r>
      <w:r>
        <w:rPr>
          <w:rFonts w:hint="default" w:ascii="Times New Roman" w:hAnsi="Times New Roman" w:eastAsia="仿宋" w:cs="Times New Roman"/>
          <w:color w:val="auto"/>
          <w:sz w:val="32"/>
          <w:szCs w:val="32"/>
          <w:highlight w:val="none"/>
          <w:lang w:val="en-US" w:eastAsia="zh-CN"/>
        </w:rPr>
        <w:t>零售市场</w:t>
      </w:r>
      <w:r>
        <w:rPr>
          <w:rFonts w:hint="default" w:ascii="Times New Roman" w:hAnsi="Times New Roman" w:eastAsia="仿宋" w:cs="Times New Roman"/>
          <w:color w:val="auto"/>
          <w:sz w:val="32"/>
          <w:szCs w:val="32"/>
          <w:highlight w:val="none"/>
        </w:rPr>
        <w:t>提供</w:t>
      </w:r>
      <w:r>
        <w:rPr>
          <w:rFonts w:hint="default" w:ascii="Times New Roman" w:hAnsi="Times New Roman" w:eastAsia="仿宋" w:cs="Times New Roman"/>
          <w:color w:val="auto"/>
          <w:sz w:val="32"/>
          <w:szCs w:val="32"/>
          <w:highlight w:val="none"/>
          <w:lang w:eastAsia="zh-CN"/>
        </w:rPr>
        <w:t>基础服务</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并接受电力交易机构的规范性管理</w:t>
      </w:r>
      <w:r>
        <w:rPr>
          <w:rFonts w:hint="default" w:ascii="Times New Roman" w:hAnsi="Times New Roman" w:eastAsia="仿宋" w:cs="Times New Roman"/>
          <w:color w:val="auto"/>
          <w:sz w:val="32"/>
          <w:szCs w:val="32"/>
          <w:highlight w:val="none"/>
        </w:rPr>
        <w:t>。售电公司向用户提供</w:t>
      </w:r>
      <w:r>
        <w:rPr>
          <w:rFonts w:hint="eastAsia" w:ascii="Times New Roman" w:hAnsi="Times New Roman" w:eastAsia="仿宋" w:cs="Times New Roman"/>
          <w:color w:val="auto"/>
          <w:sz w:val="32"/>
          <w:szCs w:val="32"/>
          <w:highlight w:val="none"/>
          <w:lang w:val="en-US" w:eastAsia="zh-CN"/>
        </w:rPr>
        <w:t>服务</w:t>
      </w:r>
      <w:r>
        <w:rPr>
          <w:rFonts w:hint="default" w:ascii="Times New Roman" w:hAnsi="Times New Roman" w:eastAsia="仿宋" w:cs="Times New Roman"/>
          <w:color w:val="auto"/>
          <w:sz w:val="32"/>
          <w:szCs w:val="32"/>
          <w:highlight w:val="none"/>
        </w:rPr>
        <w:t>信息</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口头或书面</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应当客观、完整、准确，且无误导性、虚假性宣传，并主动提醒用户可能存在的市场风险；不得欺骗用户，不得向用户作出不当承诺或保证；不得为迎合用户不合理</w:t>
      </w:r>
      <w:r>
        <w:rPr>
          <w:rFonts w:ascii="Times New Roman" w:hAnsi="Times New Roman" w:eastAsia="仿宋" w:cs="Times New Roman"/>
          <w:color w:val="auto"/>
          <w:sz w:val="32"/>
          <w:szCs w:val="32"/>
          <w:highlight w:val="none"/>
        </w:rPr>
        <w:t>要求而损害公共利益。</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风险防控</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参数阈值约束]</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设置</w:t>
      </w:r>
      <w:r>
        <w:rPr>
          <w:rFonts w:hint="eastAsia" w:ascii="Times New Roman" w:hAnsi="Times New Roman" w:eastAsia="仿宋" w:cs="Times New Roman"/>
          <w:color w:val="auto"/>
          <w:sz w:val="32"/>
          <w:szCs w:val="32"/>
          <w:highlight w:val="none"/>
          <w:lang w:val="en-US" w:eastAsia="zh-CN"/>
        </w:rPr>
        <w:t>零售市场</w:t>
      </w:r>
      <w:r>
        <w:rPr>
          <w:rFonts w:hint="default" w:ascii="Times New Roman" w:hAnsi="Times New Roman" w:eastAsia="仿宋" w:cs="Times New Roman"/>
          <w:color w:val="auto"/>
          <w:sz w:val="32"/>
          <w:szCs w:val="32"/>
          <w:highlight w:val="none"/>
        </w:rPr>
        <w:t>参数阈值，</w:t>
      </w:r>
      <w:r>
        <w:rPr>
          <w:rFonts w:hint="eastAsia" w:ascii="Times New Roman" w:hAnsi="Times New Roman" w:eastAsia="仿宋" w:cs="Times New Roman"/>
          <w:color w:val="auto"/>
          <w:sz w:val="32"/>
          <w:szCs w:val="32"/>
          <w:highlight w:val="none"/>
          <w:lang w:val="en-US" w:eastAsia="zh-CN"/>
        </w:rPr>
        <w:t>相关阈值应经政府主管部门同意，</w:t>
      </w:r>
      <w:r>
        <w:rPr>
          <w:rFonts w:hint="default" w:ascii="Times New Roman" w:hAnsi="Times New Roman" w:eastAsia="仿宋" w:cs="Times New Roman"/>
          <w:color w:val="auto"/>
          <w:sz w:val="32"/>
          <w:szCs w:val="32"/>
          <w:highlight w:val="none"/>
        </w:rPr>
        <w:t>售电公司</w:t>
      </w:r>
      <w:r>
        <w:rPr>
          <w:rFonts w:hint="eastAsia" w:ascii="Times New Roman" w:hAnsi="Times New Roman" w:eastAsia="仿宋" w:cs="Times New Roman"/>
          <w:color w:val="auto"/>
          <w:sz w:val="32"/>
          <w:szCs w:val="32"/>
          <w:highlight w:val="none"/>
          <w:lang w:val="en-US" w:eastAsia="zh-CN"/>
        </w:rPr>
        <w:t>提供售电服务</w:t>
      </w:r>
      <w:r>
        <w:rPr>
          <w:rFonts w:hint="default" w:ascii="Times New Roman" w:hAnsi="Times New Roman" w:eastAsia="仿宋" w:cs="Times New Roman"/>
          <w:color w:val="auto"/>
          <w:sz w:val="32"/>
          <w:szCs w:val="32"/>
          <w:highlight w:val="none"/>
        </w:rPr>
        <w:t>时不得超出</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所设置的阈值范围。</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电量履约约束</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售电公司各个时间周期内在</w:t>
      </w:r>
      <w:r>
        <w:rPr>
          <w:rFonts w:hint="default" w:ascii="Times New Roman" w:hAnsi="Times New Roman" w:eastAsia="仿宋" w:cs="Times New Roman"/>
          <w:color w:val="auto"/>
          <w:sz w:val="32"/>
          <w:szCs w:val="32"/>
          <w:highlight w:val="none"/>
        </w:rPr>
        <w:t>批发市场</w:t>
      </w:r>
      <w:r>
        <w:rPr>
          <w:rFonts w:hint="eastAsia" w:ascii="Times New Roman" w:hAnsi="Times New Roman" w:eastAsia="仿宋" w:cs="Times New Roman"/>
          <w:color w:val="auto"/>
          <w:sz w:val="32"/>
          <w:szCs w:val="32"/>
          <w:highlight w:val="none"/>
          <w:lang w:val="en-US" w:eastAsia="zh-CN"/>
        </w:rPr>
        <w:t>净</w:t>
      </w:r>
      <w:r>
        <w:rPr>
          <w:rFonts w:hint="default" w:ascii="Times New Roman" w:hAnsi="Times New Roman" w:eastAsia="仿宋" w:cs="Times New Roman"/>
          <w:color w:val="auto"/>
          <w:sz w:val="32"/>
          <w:szCs w:val="32"/>
          <w:highlight w:val="none"/>
        </w:rPr>
        <w:t>购电</w:t>
      </w:r>
      <w:r>
        <w:rPr>
          <w:rFonts w:hint="eastAsia" w:ascii="Times New Roman" w:hAnsi="Times New Roman" w:eastAsia="仿宋" w:cs="Times New Roman"/>
          <w:color w:val="auto"/>
          <w:sz w:val="32"/>
          <w:szCs w:val="32"/>
          <w:highlight w:val="none"/>
          <w:lang w:val="en-US" w:eastAsia="zh-CN"/>
        </w:rPr>
        <w:t>量</w:t>
      </w:r>
      <w:r>
        <w:rPr>
          <w:rFonts w:hint="default" w:ascii="Times New Roman" w:hAnsi="Times New Roman" w:eastAsia="仿宋" w:cs="Times New Roman"/>
          <w:color w:val="auto"/>
          <w:sz w:val="32"/>
          <w:szCs w:val="32"/>
          <w:highlight w:val="none"/>
        </w:rPr>
        <w:t>与零售</w:t>
      </w:r>
      <w:r>
        <w:rPr>
          <w:rFonts w:hint="eastAsia" w:ascii="Times New Roman" w:hAnsi="Times New Roman" w:eastAsia="仿宋" w:cs="Times New Roman"/>
          <w:color w:val="auto"/>
          <w:sz w:val="32"/>
          <w:szCs w:val="32"/>
          <w:highlight w:val="none"/>
          <w:lang w:val="en-US" w:eastAsia="zh-CN"/>
        </w:rPr>
        <w:t>市场净</w:t>
      </w:r>
      <w:r>
        <w:rPr>
          <w:rFonts w:hint="default" w:ascii="Times New Roman" w:hAnsi="Times New Roman" w:eastAsia="仿宋" w:cs="Times New Roman"/>
          <w:color w:val="auto"/>
          <w:sz w:val="32"/>
          <w:szCs w:val="32"/>
          <w:highlight w:val="none"/>
        </w:rPr>
        <w:t>售电</w:t>
      </w:r>
      <w:r>
        <w:rPr>
          <w:rFonts w:hint="eastAsia" w:ascii="Times New Roman" w:hAnsi="Times New Roman" w:eastAsia="仿宋" w:cs="Times New Roman"/>
          <w:color w:val="auto"/>
          <w:sz w:val="32"/>
          <w:szCs w:val="32"/>
          <w:highlight w:val="none"/>
          <w:lang w:val="en-US" w:eastAsia="zh-CN"/>
        </w:rPr>
        <w:t>量</w:t>
      </w:r>
      <w:r>
        <w:rPr>
          <w:rFonts w:hint="default" w:ascii="Times New Roman" w:hAnsi="Times New Roman" w:eastAsia="仿宋" w:cs="Times New Roman"/>
          <w:color w:val="auto"/>
          <w:sz w:val="32"/>
          <w:szCs w:val="32"/>
          <w:highlight w:val="none"/>
        </w:rPr>
        <w:t>的比例</w:t>
      </w:r>
      <w:r>
        <w:rPr>
          <w:rFonts w:hint="eastAsia" w:ascii="Times New Roman" w:hAnsi="Times New Roman" w:eastAsia="仿宋" w:cs="Times New Roman"/>
          <w:color w:val="auto"/>
          <w:sz w:val="32"/>
          <w:szCs w:val="32"/>
          <w:highlight w:val="none"/>
          <w:lang w:val="en-US" w:eastAsia="zh-CN"/>
        </w:rPr>
        <w:t>均</w:t>
      </w:r>
      <w:r>
        <w:rPr>
          <w:rFonts w:hint="default" w:ascii="Times New Roman" w:hAnsi="Times New Roman" w:eastAsia="仿宋" w:cs="Times New Roman"/>
          <w:color w:val="auto"/>
          <w:sz w:val="32"/>
          <w:szCs w:val="32"/>
          <w:highlight w:val="none"/>
        </w:rPr>
        <w:t>应在合理范围</w:t>
      </w:r>
      <w:r>
        <w:rPr>
          <w:rFonts w:hint="eastAsia" w:ascii="Times New Roman" w:hAnsi="Times New Roman" w:eastAsia="仿宋" w:cs="Times New Roman"/>
          <w:color w:val="auto"/>
          <w:sz w:val="32"/>
          <w:szCs w:val="32"/>
          <w:highlight w:val="none"/>
          <w:lang w:val="en-US" w:eastAsia="zh-CN"/>
        </w:rPr>
        <w:t>，若上述</w:t>
      </w:r>
      <w:r>
        <w:rPr>
          <w:rFonts w:hint="default" w:ascii="Times New Roman" w:hAnsi="Times New Roman" w:eastAsia="仿宋" w:cs="Times New Roman"/>
          <w:color w:val="auto"/>
          <w:sz w:val="32"/>
          <w:szCs w:val="32"/>
          <w:highlight w:val="none"/>
        </w:rPr>
        <w:t>批发</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零售</w:t>
      </w:r>
      <w:r>
        <w:rPr>
          <w:rFonts w:hint="eastAsia" w:ascii="Times New Roman" w:hAnsi="Times New Roman" w:eastAsia="仿宋" w:cs="Times New Roman"/>
          <w:color w:val="auto"/>
          <w:sz w:val="32"/>
          <w:szCs w:val="32"/>
          <w:highlight w:val="none"/>
          <w:lang w:val="en-US" w:eastAsia="zh-CN"/>
        </w:rPr>
        <w:t>电量比例严重不匹配，经电力交易机构评估认为履约风险显著增加的，可要求售电公司追加履约担保。</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小型用户零售约束</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在放开小型用户参与零售市场初期，为减少小型用户市场风险，保护小型用户权益，有序平稳推进小型用户零售市场，建立健全风险防范机制保障小型用户合法权益。</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极端价格处置]</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lang w:val="en-US" w:eastAsia="zh-CN"/>
        </w:rPr>
        <w:t>应在零售合同</w:t>
      </w:r>
      <w:r>
        <w:rPr>
          <w:rFonts w:hint="eastAsia" w:ascii="Times New Roman" w:hAnsi="Times New Roman" w:eastAsia="仿宋" w:cs="Times New Roman"/>
          <w:color w:val="auto"/>
          <w:sz w:val="32"/>
          <w:szCs w:val="32"/>
          <w:highlight w:val="none"/>
          <w:lang w:val="en-US" w:eastAsia="zh-CN"/>
        </w:rPr>
        <w:t>范本</w:t>
      </w:r>
      <w:r>
        <w:rPr>
          <w:rFonts w:hint="default" w:ascii="Times New Roman" w:hAnsi="Times New Roman" w:eastAsia="仿宋" w:cs="Times New Roman"/>
          <w:color w:val="auto"/>
          <w:sz w:val="32"/>
          <w:szCs w:val="32"/>
          <w:highlight w:val="none"/>
          <w:lang w:val="en-US" w:eastAsia="zh-CN"/>
        </w:rPr>
        <w:t>设置</w:t>
      </w:r>
      <w:r>
        <w:rPr>
          <w:rFonts w:hint="default" w:ascii="Times New Roman" w:hAnsi="Times New Roman" w:eastAsia="仿宋" w:cs="Times New Roman"/>
          <w:color w:val="auto"/>
          <w:sz w:val="32"/>
          <w:szCs w:val="32"/>
          <w:highlight w:val="none"/>
        </w:rPr>
        <w:t>极端场景下</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零售合同</w:t>
      </w:r>
      <w:r>
        <w:rPr>
          <w:rFonts w:hint="default" w:ascii="Times New Roman" w:hAnsi="Times New Roman" w:eastAsia="仿宋" w:cs="Times New Roman"/>
          <w:color w:val="auto"/>
          <w:sz w:val="32"/>
          <w:szCs w:val="32"/>
          <w:highlight w:val="none"/>
          <w:lang w:val="en-US" w:eastAsia="zh-CN"/>
        </w:rPr>
        <w:t>价格处理条款</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明确当用户零售结算价格（平段）</w:t>
      </w:r>
      <w:r>
        <w:rPr>
          <w:rFonts w:hint="eastAsia" w:ascii="Times New Roman" w:hAnsi="Times New Roman" w:eastAsia="仿宋" w:cs="Times New Roman"/>
          <w:color w:val="auto"/>
          <w:sz w:val="32"/>
          <w:szCs w:val="32"/>
          <w:highlight w:val="none"/>
          <w:lang w:val="en-US" w:eastAsia="zh-CN"/>
        </w:rPr>
        <w:t>偏离零售市场结算限价时的处置措施。</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[套餐风险提</w:t>
      </w:r>
      <w:r>
        <w:rPr>
          <w:rFonts w:hint="eastAsia" w:ascii="Times New Roman" w:hAnsi="Times New Roman" w:eastAsia="仿宋" w:cs="Times New Roman"/>
          <w:color w:val="auto"/>
          <w:sz w:val="32"/>
          <w:szCs w:val="32"/>
          <w:highlight w:val="none"/>
          <w:lang w:val="en-US" w:eastAsia="zh-CN"/>
        </w:rPr>
        <w:t>示</w:t>
      </w:r>
      <w:r>
        <w:rPr>
          <w:rFonts w:hint="default" w:ascii="Times New Roman" w:hAnsi="Times New Roman" w:eastAsia="仿宋" w:cs="Times New Roman"/>
          <w:color w:val="auto"/>
          <w:sz w:val="32"/>
          <w:szCs w:val="32"/>
          <w:highlight w:val="none"/>
        </w:rPr>
        <w:t>]对于选择非固定价格套餐的零售用户，</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应该明确告知非固定价格套餐的价格存在随市场价格</w:t>
      </w:r>
      <w:r>
        <w:rPr>
          <w:rFonts w:hint="eastAsia" w:ascii="Times New Roman" w:hAnsi="Times New Roman" w:eastAsia="仿宋" w:cs="Times New Roman"/>
          <w:color w:val="auto"/>
          <w:sz w:val="32"/>
          <w:szCs w:val="32"/>
          <w:highlight w:val="none"/>
          <w:lang w:val="en-US"/>
        </w:rPr>
        <w:t>影响</w:t>
      </w:r>
      <w:r>
        <w:rPr>
          <w:rFonts w:hint="default" w:ascii="Times New Roman" w:hAnsi="Times New Roman" w:eastAsia="仿宋" w:cs="Times New Roman"/>
          <w:color w:val="auto"/>
          <w:sz w:val="32"/>
          <w:szCs w:val="32"/>
          <w:highlight w:val="none"/>
        </w:rPr>
        <w:t>波动的风险，</w:t>
      </w:r>
      <w:r>
        <w:rPr>
          <w:rFonts w:hint="eastAsia" w:ascii="Times New Roman" w:hAnsi="Times New Roman" w:eastAsia="仿宋" w:cs="Times New Roman"/>
          <w:color w:val="auto"/>
          <w:sz w:val="32"/>
          <w:szCs w:val="32"/>
          <w:highlight w:val="none"/>
          <w:lang w:val="en-US" w:eastAsia="zh-CN"/>
        </w:rPr>
        <w:t>可以</w:t>
      </w:r>
      <w:r>
        <w:rPr>
          <w:rFonts w:hint="default" w:ascii="Times New Roman" w:hAnsi="Times New Roman" w:eastAsia="仿宋" w:cs="Times New Roman"/>
          <w:color w:val="auto"/>
          <w:sz w:val="32"/>
          <w:szCs w:val="32"/>
          <w:highlight w:val="none"/>
        </w:rPr>
        <w:t>提供联动</w:t>
      </w:r>
      <w:r>
        <w:rPr>
          <w:rFonts w:hint="default"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lang w:val="en-US" w:eastAsia="zh-CN"/>
        </w:rPr>
        <w:t>市场</w:t>
      </w:r>
      <w:r>
        <w:rPr>
          <w:rFonts w:hint="default" w:ascii="Times New Roman" w:hAnsi="Times New Roman" w:eastAsia="仿宋" w:cs="Times New Roman"/>
          <w:color w:val="auto"/>
          <w:sz w:val="32"/>
          <w:szCs w:val="32"/>
          <w:highlight w:val="none"/>
        </w:rPr>
        <w:t>价格历史数据</w:t>
      </w:r>
      <w:r>
        <w:rPr>
          <w:rFonts w:hint="eastAsia" w:ascii="Times New Roman" w:hAnsi="Times New Roman" w:eastAsia="仿宋" w:cs="Times New Roman"/>
          <w:color w:val="auto"/>
          <w:sz w:val="32"/>
          <w:szCs w:val="32"/>
          <w:highlight w:val="none"/>
          <w:lang w:val="en-US" w:eastAsia="zh-CN"/>
        </w:rPr>
        <w:t>供零售用户参考</w:t>
      </w:r>
      <w:r>
        <w:rPr>
          <w:rFonts w:hint="default" w:ascii="Times New Roman" w:hAnsi="Times New Roman" w:eastAsia="仿宋" w:cs="Times New Roman"/>
          <w:color w:val="auto"/>
          <w:sz w:val="32"/>
          <w:szCs w:val="32"/>
          <w:highlight w:val="none"/>
          <w:lang w:val="en-US" w:eastAsia="zh-CN"/>
        </w:rPr>
        <w:t>。</w:t>
      </w:r>
    </w:p>
    <w:p>
      <w:pPr>
        <w:pStyle w:val="38"/>
        <w:pageBreakBefore w:val="0"/>
        <w:numPr>
          <w:ilvl w:val="0"/>
          <w:numId w:val="4"/>
        </w:numPr>
        <w:kinsoku/>
        <w:wordWrap/>
        <w:overflowPunct/>
        <w:topLinePunct w:val="0"/>
        <w:autoSpaceDE/>
        <w:autoSpaceDN/>
        <w:bidi w:val="0"/>
        <w:adjustRightInd/>
        <w:snapToGrid/>
        <w:spacing w:line="54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阈值调整机制]</w:t>
      </w:r>
      <w:r>
        <w:rPr>
          <w:rFonts w:hint="eastAsia" w:ascii="Times New Roman" w:hAnsi="Times New Roman" w:eastAsia="仿宋" w:cs="Times New Roman"/>
          <w:color w:val="auto"/>
          <w:sz w:val="32"/>
          <w:szCs w:val="32"/>
          <w:highlight w:val="none"/>
          <w:lang w:eastAsia="zh-CN"/>
        </w:rPr>
        <w:t>电力交易机构</w:t>
      </w:r>
      <w:r>
        <w:rPr>
          <w:rFonts w:hint="eastAsia" w:ascii="Times New Roman" w:hAnsi="Times New Roman" w:eastAsia="仿宋" w:cs="Times New Roman"/>
          <w:color w:val="auto"/>
          <w:sz w:val="32"/>
          <w:szCs w:val="32"/>
          <w:highlight w:val="none"/>
          <w:lang w:val="en-US" w:eastAsia="zh-CN"/>
        </w:rPr>
        <w:t>建立</w:t>
      </w:r>
      <w:r>
        <w:rPr>
          <w:rFonts w:hint="default" w:ascii="Times New Roman" w:hAnsi="Times New Roman" w:eastAsia="仿宋" w:cs="Times New Roman"/>
          <w:color w:val="auto"/>
          <w:sz w:val="32"/>
          <w:szCs w:val="32"/>
          <w:highlight w:val="none"/>
        </w:rPr>
        <w:t>售电公司利润、零售价格</w:t>
      </w:r>
      <w:r>
        <w:rPr>
          <w:rFonts w:hint="eastAsia" w:ascii="Times New Roman" w:hAnsi="Times New Roman" w:eastAsia="仿宋" w:cs="Times New Roman"/>
          <w:color w:val="auto"/>
          <w:sz w:val="32"/>
          <w:szCs w:val="32"/>
          <w:highlight w:val="none"/>
          <w:lang w:val="en-US" w:eastAsia="zh-CN"/>
        </w:rPr>
        <w:t>等监测</w:t>
      </w:r>
      <w:r>
        <w:rPr>
          <w:rFonts w:hint="default" w:ascii="Times New Roman" w:hAnsi="Times New Roman" w:eastAsia="仿宋" w:cs="Times New Roman"/>
          <w:color w:val="auto"/>
          <w:sz w:val="32"/>
          <w:szCs w:val="32"/>
          <w:highlight w:val="none"/>
        </w:rPr>
        <w:t>机制，并根据情况</w:t>
      </w:r>
      <w:r>
        <w:rPr>
          <w:rFonts w:hint="eastAsia" w:ascii="Times New Roman" w:hAnsi="Times New Roman" w:eastAsia="仿宋" w:cs="Times New Roman"/>
          <w:color w:val="auto"/>
          <w:sz w:val="32"/>
          <w:szCs w:val="32"/>
          <w:highlight w:val="none"/>
          <w:lang w:val="en-US" w:eastAsia="zh-CN"/>
        </w:rPr>
        <w:t>按程序</w:t>
      </w:r>
      <w:r>
        <w:rPr>
          <w:rFonts w:hint="default" w:ascii="Times New Roman" w:hAnsi="Times New Roman" w:eastAsia="仿宋" w:cs="Times New Roman"/>
          <w:color w:val="auto"/>
          <w:sz w:val="32"/>
          <w:szCs w:val="32"/>
          <w:highlight w:val="none"/>
        </w:rPr>
        <w:t>对参数阈值进行调整，不符合阈值限制的套餐将</w:t>
      </w:r>
      <w:r>
        <w:rPr>
          <w:rFonts w:hint="eastAsia" w:ascii="Times New Roman" w:hAnsi="Times New Roman" w:eastAsia="仿宋" w:cs="Times New Roman"/>
          <w:color w:val="auto"/>
          <w:sz w:val="32"/>
          <w:szCs w:val="32"/>
          <w:highlight w:val="none"/>
          <w:lang w:val="en-US" w:eastAsia="zh-CN"/>
        </w:rPr>
        <w:t>予以</w:t>
      </w:r>
      <w:r>
        <w:rPr>
          <w:rFonts w:hint="default" w:ascii="Times New Roman" w:hAnsi="Times New Roman" w:eastAsia="仿宋" w:cs="Times New Roman"/>
          <w:color w:val="auto"/>
          <w:sz w:val="32"/>
          <w:szCs w:val="32"/>
          <w:highlight w:val="none"/>
        </w:rPr>
        <w:t>下架</w:t>
      </w:r>
      <w:r>
        <w:rPr>
          <w:rFonts w:hint="eastAsia" w:ascii="Times New Roman" w:hAnsi="Times New Roman" w:eastAsia="仿宋" w:cs="Times New Roman"/>
          <w:color w:val="auto"/>
          <w:sz w:val="32"/>
          <w:szCs w:val="32"/>
          <w:highlight w:val="none"/>
          <w:lang w:val="en-US" w:eastAsia="zh-CN"/>
        </w:rPr>
        <w:t>处理</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但</w:t>
      </w:r>
      <w:r>
        <w:rPr>
          <w:rFonts w:hint="default" w:ascii="Times New Roman" w:hAnsi="Times New Roman" w:eastAsia="仿宋" w:cs="Times New Roman"/>
          <w:color w:val="auto"/>
          <w:sz w:val="32"/>
          <w:szCs w:val="32"/>
          <w:highlight w:val="none"/>
        </w:rPr>
        <w:t>零售用户已下单锁定的套餐</w:t>
      </w:r>
      <w:r>
        <w:rPr>
          <w:rFonts w:hint="eastAsia" w:ascii="Times New Roman" w:hAnsi="Times New Roman" w:eastAsia="仿宋" w:cs="Times New Roman"/>
          <w:color w:val="auto"/>
          <w:sz w:val="32"/>
          <w:szCs w:val="32"/>
          <w:highlight w:val="none"/>
          <w:lang w:val="en-US" w:eastAsia="zh-CN"/>
        </w:rPr>
        <w:t>除外</w:t>
      </w:r>
      <w:r>
        <w:rPr>
          <w:rFonts w:hint="default"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4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[保底售电机制]售电公司因退市等原因无法继续履行零售合同的，由保底售电公司负责承接，确保用户持续参与市场交易。</w:t>
      </w:r>
    </w:p>
    <w:p>
      <w:pPr>
        <w:pStyle w:val="38"/>
        <w:pageBreakBefore w:val="0"/>
        <w:numPr>
          <w:ilvl w:val="0"/>
          <w:numId w:val="4"/>
        </w:numPr>
        <w:kinsoku/>
        <w:wordWrap/>
        <w:overflowPunct/>
        <w:topLinePunct w:val="0"/>
        <w:autoSpaceDE/>
        <w:autoSpaceDN/>
        <w:bidi w:val="0"/>
        <w:adjustRightInd/>
        <w:snapToGrid/>
        <w:spacing w:line="54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履约管理</w:t>
      </w:r>
      <w:r>
        <w:rPr>
          <w:rFonts w:hint="default" w:ascii="Times New Roman" w:hAnsi="Times New Roman" w:eastAsia="仿宋" w:cs="Times New Roman"/>
          <w:color w:val="auto"/>
          <w:sz w:val="32"/>
          <w:szCs w:val="32"/>
          <w:highlight w:val="none"/>
        </w:rPr>
        <w:t>机制]</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加强市场主体信用管理，通过信用评价有效引导和规范市场主体的市场行为；加强市场主体履约风险管理，</w:t>
      </w:r>
      <w:r>
        <w:rPr>
          <w:rFonts w:hint="eastAsia" w:ascii="Times New Roman" w:hAnsi="Times New Roman" w:eastAsia="仿宋" w:cs="Times New Roman"/>
          <w:color w:val="auto"/>
          <w:sz w:val="32"/>
          <w:szCs w:val="32"/>
          <w:highlight w:val="none"/>
          <w:lang w:val="en-US" w:eastAsia="zh-CN"/>
        </w:rPr>
        <w:t>通过</w:t>
      </w:r>
      <w:r>
        <w:rPr>
          <w:rFonts w:hint="default" w:ascii="Times New Roman" w:hAnsi="Times New Roman" w:eastAsia="仿宋" w:cs="Times New Roman"/>
          <w:color w:val="auto"/>
          <w:sz w:val="32"/>
          <w:szCs w:val="32"/>
          <w:highlight w:val="none"/>
        </w:rPr>
        <w:t>建立科学的履约风险评估模型，结合市场实际评估市场主体履约风险，防范其不履行市场化交易结算义务给其他市场成员造成经济损失</w:t>
      </w:r>
      <w:r>
        <w:rPr>
          <w:rFonts w:hint="eastAsia" w:ascii="Times New Roman" w:hAnsi="Times New Roman" w:eastAsia="仿宋" w:cs="Times New Roman"/>
          <w:color w:val="auto"/>
          <w:sz w:val="32"/>
          <w:szCs w:val="32"/>
          <w:highlight w:val="none"/>
          <w:lang w:eastAsia="zh-CN"/>
        </w:rPr>
        <w:t>的</w:t>
      </w:r>
      <w:r>
        <w:rPr>
          <w:rFonts w:hint="eastAsia" w:ascii="Times New Roman" w:hAnsi="Times New Roman" w:eastAsia="仿宋" w:cs="Times New Roman"/>
          <w:color w:val="auto"/>
          <w:sz w:val="32"/>
          <w:szCs w:val="32"/>
          <w:highlight w:val="none"/>
          <w:lang w:val="en-US" w:eastAsia="zh-CN"/>
        </w:rPr>
        <w:t>风险</w:t>
      </w:r>
      <w:r>
        <w:rPr>
          <w:rFonts w:hint="default" w:ascii="Times New Roman" w:hAnsi="Times New Roman" w:eastAsia="仿宋" w:cs="Times New Roman"/>
          <w:color w:val="auto"/>
          <w:sz w:val="32"/>
          <w:szCs w:val="32"/>
          <w:highlight w:val="none"/>
        </w:rPr>
        <w:t>。</w:t>
      </w:r>
    </w:p>
    <w:p>
      <w:pPr>
        <w:pStyle w:val="38"/>
        <w:pageBreakBefore w:val="0"/>
        <w:numPr>
          <w:ilvl w:val="0"/>
          <w:numId w:val="4"/>
        </w:numPr>
        <w:kinsoku/>
        <w:wordWrap/>
        <w:overflowPunct/>
        <w:topLinePunct w:val="0"/>
        <w:autoSpaceDE/>
        <w:autoSpaceDN/>
        <w:bidi w:val="0"/>
        <w:adjustRightInd/>
        <w:snapToGrid/>
        <w:spacing w:line="540" w:lineRule="exact"/>
        <w:ind w:firstLine="600" w:firstLineChars="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风控策略管理</w:t>
      </w:r>
      <w:r>
        <w:rPr>
          <w:rFonts w:hint="default" w:ascii="Times New Roman" w:hAnsi="Times New Roman" w:eastAsia="仿宋" w:cs="Times New Roman"/>
          <w:color w:val="auto"/>
          <w:sz w:val="32"/>
          <w:szCs w:val="32"/>
          <w:highlight w:val="none"/>
        </w:rPr>
        <w:t>]售电公司应</w:t>
      </w:r>
      <w:r>
        <w:rPr>
          <w:rFonts w:hint="eastAsia" w:ascii="Times New Roman" w:hAnsi="Times New Roman" w:eastAsia="仿宋" w:cs="Times New Roman"/>
          <w:color w:val="auto"/>
          <w:sz w:val="32"/>
          <w:szCs w:val="32"/>
          <w:highlight w:val="none"/>
          <w:lang w:val="en-US" w:eastAsia="zh-CN"/>
        </w:rPr>
        <w:t>定期</w:t>
      </w:r>
      <w:r>
        <w:rPr>
          <w:rFonts w:hint="default" w:ascii="Times New Roman" w:hAnsi="Times New Roman" w:eastAsia="仿宋" w:cs="Times New Roman"/>
          <w:color w:val="auto"/>
          <w:sz w:val="32"/>
          <w:szCs w:val="32"/>
          <w:highlight w:val="none"/>
        </w:rPr>
        <w:t>提供包含详细风险管理策略的风控报告，建立运营和财务风控模型；建立外部环境发生重大变化（政策或市场发生大幅变化）时的风险应对调整机制或引入保险机制对冲违约风险；有针对性编制相应的风险防控预案，明确具体的风险源、风险级别、防范措施、处置程序等内容</w:t>
      </w:r>
      <w:r>
        <w:rPr>
          <w:rFonts w:hint="eastAsia" w:ascii="Times New Roman" w:hAnsi="Times New Roman" w:eastAsia="仿宋" w:cs="Times New Roman"/>
          <w:color w:val="auto"/>
          <w:sz w:val="32"/>
          <w:szCs w:val="32"/>
          <w:highlight w:val="none"/>
          <w:lang w:eastAsia="zh-CN"/>
        </w:rPr>
        <w:t>；建立本企业内部操作风险防控措施，避免发生交易人员的误操作行为，并</w:t>
      </w:r>
      <w:r>
        <w:rPr>
          <w:rFonts w:hint="eastAsia" w:ascii="Times New Roman" w:hAnsi="Times New Roman" w:eastAsia="仿宋" w:cs="Times New Roman"/>
          <w:color w:val="auto"/>
          <w:sz w:val="32"/>
          <w:szCs w:val="32"/>
          <w:highlight w:val="none"/>
          <w:lang w:val="en-US" w:eastAsia="zh-CN"/>
        </w:rPr>
        <w:t>有义务</w:t>
      </w:r>
      <w:r>
        <w:rPr>
          <w:rFonts w:hint="eastAsia" w:ascii="Times New Roman" w:hAnsi="Times New Roman" w:eastAsia="仿宋" w:cs="Times New Roman"/>
          <w:color w:val="auto"/>
          <w:sz w:val="32"/>
          <w:szCs w:val="32"/>
          <w:highlight w:val="none"/>
          <w:lang w:eastAsia="zh-CN"/>
        </w:rPr>
        <w:t>对</w:t>
      </w:r>
      <w:r>
        <w:rPr>
          <w:rFonts w:hint="eastAsia" w:ascii="Times New Roman" w:hAnsi="Times New Roman" w:eastAsia="仿宋" w:cs="Times New Roman"/>
          <w:color w:val="auto"/>
          <w:sz w:val="32"/>
          <w:szCs w:val="32"/>
          <w:highlight w:val="none"/>
          <w:lang w:val="en-US" w:eastAsia="zh-CN"/>
        </w:rPr>
        <w:t>其</w:t>
      </w:r>
      <w:r>
        <w:rPr>
          <w:rFonts w:hint="eastAsia" w:ascii="Times New Roman" w:hAnsi="Times New Roman" w:eastAsia="仿宋" w:cs="Times New Roman"/>
          <w:color w:val="auto"/>
          <w:sz w:val="32"/>
          <w:szCs w:val="32"/>
          <w:highlight w:val="none"/>
          <w:lang w:eastAsia="zh-CN"/>
        </w:rPr>
        <w:t>代理用户</w:t>
      </w:r>
      <w:r>
        <w:rPr>
          <w:rFonts w:hint="eastAsia" w:ascii="Times New Roman" w:hAnsi="Times New Roman" w:eastAsia="仿宋" w:cs="Times New Roman"/>
          <w:color w:val="auto"/>
          <w:sz w:val="32"/>
          <w:szCs w:val="32"/>
          <w:highlight w:val="none"/>
          <w:lang w:val="en-US" w:eastAsia="zh-CN"/>
        </w:rPr>
        <w:t>做好</w:t>
      </w:r>
      <w:r>
        <w:rPr>
          <w:rFonts w:hint="eastAsia" w:ascii="Times New Roman" w:hAnsi="Times New Roman" w:eastAsia="仿宋" w:cs="Times New Roman"/>
          <w:color w:val="auto"/>
          <w:sz w:val="32"/>
          <w:szCs w:val="32"/>
          <w:highlight w:val="none"/>
          <w:lang w:eastAsia="zh-CN"/>
        </w:rPr>
        <w:t>防范误操作行为的宣传。</w:t>
      </w:r>
      <w:r>
        <w:rPr>
          <w:rFonts w:hint="default" w:ascii="Times New Roman" w:hAnsi="Times New Roman" w:eastAsia="仿宋" w:cs="Times New Roman"/>
          <w:color w:val="auto"/>
          <w:sz w:val="32"/>
          <w:szCs w:val="32"/>
          <w:highlight w:val="none"/>
        </w:rPr>
        <w:t>相关的</w:t>
      </w:r>
      <w:r>
        <w:rPr>
          <w:rFonts w:hint="eastAsia" w:ascii="Times New Roman" w:hAnsi="Times New Roman" w:eastAsia="仿宋" w:cs="Times New Roman"/>
          <w:color w:val="auto"/>
          <w:sz w:val="32"/>
          <w:szCs w:val="32"/>
          <w:highlight w:val="none"/>
          <w:lang w:val="en-US" w:eastAsia="zh-CN"/>
        </w:rPr>
        <w:t>风控报告</w:t>
      </w:r>
      <w:r>
        <w:rPr>
          <w:rFonts w:hint="default" w:ascii="Times New Roman" w:hAnsi="Times New Roman" w:eastAsia="仿宋" w:cs="Times New Roman"/>
          <w:color w:val="auto"/>
          <w:sz w:val="32"/>
          <w:szCs w:val="32"/>
          <w:highlight w:val="none"/>
        </w:rPr>
        <w:t>应得到售电公司法人代表或股东会的认可，并</w:t>
      </w:r>
      <w:r>
        <w:rPr>
          <w:rFonts w:hint="eastAsia" w:ascii="Times New Roman" w:hAnsi="Times New Roman" w:eastAsia="仿宋" w:cs="Times New Roman"/>
          <w:color w:val="auto"/>
          <w:sz w:val="32"/>
          <w:szCs w:val="32"/>
          <w:highlight w:val="none"/>
          <w:lang w:val="en-US" w:eastAsia="zh-CN"/>
        </w:rPr>
        <w:t>上传零售交易平台</w:t>
      </w:r>
      <w:r>
        <w:rPr>
          <w:rFonts w:hint="default" w:ascii="Times New Roman" w:hAnsi="Times New Roman" w:eastAsia="仿宋" w:cs="Times New Roman"/>
          <w:color w:val="auto"/>
          <w:sz w:val="32"/>
          <w:szCs w:val="32"/>
          <w:highlight w:val="none"/>
        </w:rPr>
        <w:t>。</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40" w:lineRule="exact"/>
        <w:ind w:firstLineChars="0"/>
        <w:jc w:val="center"/>
        <w:textAlignment w:val="auto"/>
        <w:rPr>
          <w:rFonts w:hint="eastAsia"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信息披露</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hint="default"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信息披露原则</w:t>
      </w:r>
      <w:r>
        <w:rPr>
          <w:rFonts w:hint="default" w:ascii="Times New Roman" w:hAnsi="Times New Roman" w:eastAsia="仿宋" w:cs="Times New Roman"/>
          <w:color w:val="auto"/>
          <w:sz w:val="32"/>
          <w:szCs w:val="32"/>
          <w:highlight w:val="none"/>
        </w:rPr>
        <w:t>]信息披露应遵循真实、准确、完整、及时、易于使用的原则</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市场</w:t>
      </w:r>
      <w:r>
        <w:rPr>
          <w:rFonts w:hint="default" w:ascii="Times New Roman" w:hAnsi="Times New Roman" w:eastAsia="仿宋" w:cs="Times New Roman"/>
          <w:color w:val="auto"/>
          <w:sz w:val="32"/>
          <w:szCs w:val="32"/>
          <w:highlight w:val="none"/>
        </w:rPr>
        <w:t>主体应当根据法律、法规、规章和规范性文件以及市场管理制度的要求，配合提供相关数据和信息，并对信息披露的真实性、准确性、完整性负责，不得有虚假记载、误导性陈述或者重大遗漏。</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信息披露管理</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负责电力零售市场信息披露的</w:t>
      </w:r>
      <w:r>
        <w:rPr>
          <w:rFonts w:hint="default" w:ascii="Times New Roman" w:hAnsi="Times New Roman" w:eastAsia="仿宋" w:cs="Times New Roman"/>
          <w:color w:val="auto"/>
          <w:sz w:val="32"/>
          <w:szCs w:val="32"/>
          <w:highlight w:val="none"/>
          <w:lang w:val="en-US" w:eastAsia="zh-CN"/>
        </w:rPr>
        <w:t>管理</w:t>
      </w:r>
      <w:r>
        <w:rPr>
          <w:rFonts w:hint="default" w:ascii="Times New Roman" w:hAnsi="Times New Roman" w:eastAsia="仿宋" w:cs="Times New Roman"/>
          <w:color w:val="auto"/>
          <w:sz w:val="32"/>
          <w:szCs w:val="32"/>
          <w:highlight w:val="none"/>
        </w:rPr>
        <w:t>，为信息披露主体创造良好的信息披露条件，制定信息披露标准格式，开放数据接口。为保证市场信息安全，</w:t>
      </w:r>
      <w:r>
        <w:rPr>
          <w:rFonts w:hint="eastAsia" w:ascii="Times New Roman" w:hAnsi="Times New Roman" w:eastAsia="仿宋" w:cs="Times New Roman"/>
          <w:color w:val="auto"/>
          <w:sz w:val="32"/>
          <w:szCs w:val="32"/>
          <w:highlight w:val="none"/>
          <w:lang w:val="en-US" w:eastAsia="zh-CN"/>
        </w:rPr>
        <w:t>电力交易机构</w:t>
      </w:r>
      <w:r>
        <w:rPr>
          <w:rFonts w:hint="default" w:ascii="Times New Roman" w:hAnsi="Times New Roman" w:eastAsia="仿宋" w:cs="Times New Roman"/>
          <w:color w:val="auto"/>
          <w:sz w:val="32"/>
          <w:szCs w:val="32"/>
          <w:highlight w:val="none"/>
        </w:rPr>
        <w:t>应设置市场成员访问权限，市场成员按照权限获取信息。</w:t>
      </w:r>
    </w:p>
    <w:p>
      <w:pPr>
        <w:pStyle w:val="38"/>
        <w:pageBreakBefore w:val="0"/>
        <w:numPr>
          <w:ilvl w:val="0"/>
          <w:numId w:val="4"/>
        </w:numPr>
        <w:kinsoku/>
        <w:wordWrap/>
        <w:overflowPunct/>
        <w:topLinePunct w:val="0"/>
        <w:autoSpaceDE/>
        <w:autoSpaceDN/>
        <w:bidi w:val="0"/>
        <w:adjustRightInd/>
        <w:snapToGrid/>
        <w:spacing w:line="560" w:lineRule="exact"/>
        <w:ind w:firstLine="600" w:firstLineChars="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信息披露平台]信用披露平台主要指广东电力市场交易系统，包括零售平台与电力交易机构各信息系统。售电公司与零售用户须通过信息披露平台向电力交易机构提供信息；电力交易机构通过信息披露平台发布信息。</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信息披露]</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定期向市场主体出具信息披露报告，内容应当包含但不限于电网概况、电力供需及预测情况、市场准入、市场交易、市场结算、市场建设、违规情况、市场干预情况等。</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[售电公司</w:t>
      </w:r>
      <w:r>
        <w:rPr>
          <w:rFonts w:hint="default" w:ascii="Times New Roman" w:hAnsi="Times New Roman" w:eastAsia="仿宋" w:cs="Times New Roman"/>
          <w:color w:val="auto"/>
          <w:sz w:val="32"/>
          <w:szCs w:val="32"/>
          <w:highlight w:val="none"/>
          <w:lang w:val="en-US" w:eastAsia="zh-CN"/>
        </w:rPr>
        <w:t>信息披露</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售电公司</w:t>
      </w:r>
      <w:r>
        <w:rPr>
          <w:rFonts w:hint="eastAsia" w:ascii="Times New Roman" w:hAnsi="Times New Roman" w:eastAsia="仿宋" w:cs="Times New Roman"/>
          <w:color w:val="auto"/>
          <w:sz w:val="32"/>
          <w:szCs w:val="32"/>
          <w:highlight w:val="none"/>
          <w:lang w:val="en-US" w:eastAsia="zh-CN"/>
        </w:rPr>
        <w:t>主要</w:t>
      </w:r>
      <w:r>
        <w:rPr>
          <w:rFonts w:hint="default" w:ascii="Times New Roman" w:hAnsi="Times New Roman" w:eastAsia="仿宋" w:cs="Times New Roman"/>
          <w:bCs/>
          <w:color w:val="auto"/>
          <w:sz w:val="32"/>
          <w:szCs w:val="32"/>
          <w:highlight w:val="none"/>
        </w:rPr>
        <w:t>披露</w:t>
      </w:r>
      <w:r>
        <w:rPr>
          <w:rFonts w:hint="default" w:ascii="Times New Roman" w:hAnsi="Times New Roman" w:eastAsia="仿宋" w:cs="Times New Roman"/>
          <w:bCs/>
          <w:color w:val="auto"/>
          <w:sz w:val="32"/>
          <w:szCs w:val="32"/>
          <w:highlight w:val="none"/>
          <w:lang w:val="en-US" w:eastAsia="zh-CN"/>
        </w:rPr>
        <w:t>信息包括</w:t>
      </w:r>
      <w:r>
        <w:rPr>
          <w:rFonts w:hint="eastAsia" w:ascii="Times New Roman" w:hAnsi="Times New Roman" w:eastAsia="仿宋" w:cs="Times New Roman"/>
          <w:bCs/>
          <w:color w:val="auto"/>
          <w:sz w:val="32"/>
          <w:szCs w:val="32"/>
          <w:highlight w:val="none"/>
          <w:lang w:val="en-US" w:eastAsia="zh-CN"/>
        </w:rPr>
        <w:t>：</w:t>
      </w:r>
      <w:r>
        <w:rPr>
          <w:rFonts w:hint="default" w:ascii="Times New Roman" w:hAnsi="Times New Roman" w:eastAsia="仿宋" w:cs="Times New Roman"/>
          <w:bCs/>
          <w:color w:val="auto"/>
          <w:sz w:val="32"/>
          <w:szCs w:val="32"/>
          <w:highlight w:val="none"/>
          <w:lang w:val="en-US" w:eastAsia="zh-CN"/>
        </w:rPr>
        <w:t>企业名称、</w:t>
      </w:r>
      <w:r>
        <w:rPr>
          <w:rFonts w:hint="default" w:ascii="Times New Roman" w:hAnsi="Times New Roman" w:eastAsia="仿宋" w:cs="Times New Roman"/>
          <w:color w:val="auto"/>
          <w:kern w:val="2"/>
          <w:sz w:val="32"/>
          <w:szCs w:val="32"/>
          <w:highlight w:val="none"/>
          <w:lang w:val="en-US" w:eastAsia="zh-CN" w:bidi="ar-SA"/>
        </w:rPr>
        <w:t>企业性质、从业人员相关证明材料等基本信息，以及与资产总额相匹配的年最大售电量、履约担保缴纳信息等运营信息。</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[零售用户信息披露]零售用户披露的信息包括企业全称、行业分类、用户类别等基本信息，</w:t>
      </w:r>
      <w:r>
        <w:rPr>
          <w:rFonts w:hint="eastAsia" w:ascii="Times New Roman" w:hAnsi="Times New Roman" w:eastAsia="仿宋" w:cs="Times New Roman"/>
          <w:color w:val="auto"/>
          <w:kern w:val="2"/>
          <w:sz w:val="32"/>
          <w:szCs w:val="32"/>
          <w:highlight w:val="none"/>
          <w:lang w:val="en-US" w:eastAsia="zh-CN" w:bidi="ar-SA"/>
        </w:rPr>
        <w:t>原则上由交易平台按照信息分类属性自动披露。</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2"/>
          <w:sz w:val="32"/>
          <w:szCs w:val="32"/>
          <w:highlight w:val="none"/>
          <w:lang w:val="en-US" w:eastAsia="zh-CN" w:bidi="ar-SA"/>
        </w:rPr>
        <w:t>[信息管理要求]</w:t>
      </w:r>
      <w:r>
        <w:rPr>
          <w:rFonts w:hint="eastAsia" w:ascii="Times New Roman" w:hAnsi="Times New Roman" w:eastAsia="仿宋" w:cs="Times New Roman"/>
          <w:color w:val="auto"/>
          <w:kern w:val="2"/>
          <w:sz w:val="32"/>
          <w:szCs w:val="32"/>
          <w:highlight w:val="none"/>
          <w:lang w:val="en-US" w:eastAsia="zh-CN" w:bidi="ar-SA"/>
        </w:rPr>
        <w:t>公开信息向全体市场成员提供，</w:t>
      </w:r>
      <w:r>
        <w:rPr>
          <w:rFonts w:hint="default" w:ascii="Times New Roman" w:hAnsi="Times New Roman" w:eastAsia="仿宋" w:cs="Times New Roman"/>
          <w:color w:val="auto"/>
          <w:sz w:val="32"/>
          <w:szCs w:val="32"/>
          <w:highlight w:val="none"/>
        </w:rPr>
        <w:t>市场成员</w:t>
      </w:r>
      <w:r>
        <w:rPr>
          <w:rFonts w:hint="eastAsia" w:ascii="Times New Roman" w:hAnsi="Times New Roman" w:eastAsia="仿宋" w:cs="Times New Roman"/>
          <w:color w:val="auto"/>
          <w:sz w:val="32"/>
          <w:szCs w:val="32"/>
          <w:highlight w:val="none"/>
          <w:lang w:val="en-US" w:eastAsia="zh-CN"/>
        </w:rPr>
        <w:t>对此有保密</w:t>
      </w:r>
      <w:r>
        <w:rPr>
          <w:rFonts w:hint="default" w:ascii="Times New Roman" w:hAnsi="Times New Roman" w:eastAsia="仿宋" w:cs="Times New Roman"/>
          <w:color w:val="auto"/>
          <w:sz w:val="32"/>
          <w:szCs w:val="32"/>
          <w:highlight w:val="none"/>
        </w:rPr>
        <w:t>义务，不向市场以外的单位或个人透露。私有信息向特定市场成员提供</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在保密期限内，市场成员应对私有信息承担保密义务，不得向第三方提供</w:t>
      </w:r>
      <w:r>
        <w:rPr>
          <w:rFonts w:hint="eastAsia" w:ascii="Times New Roman" w:hAnsi="Times New Roman" w:eastAsia="仿宋" w:cs="Times New Roman"/>
          <w:color w:val="auto"/>
          <w:sz w:val="32"/>
          <w:szCs w:val="32"/>
          <w:highlight w:val="none"/>
          <w:lang w:val="en-US" w:eastAsia="zh-CN"/>
        </w:rPr>
        <w:t>或泄露</w:t>
      </w:r>
      <w:r>
        <w:rPr>
          <w:rFonts w:hint="default" w:ascii="Times New Roman" w:hAnsi="Times New Roman" w:eastAsia="仿宋" w:cs="Times New Roman"/>
          <w:color w:val="auto"/>
          <w:sz w:val="32"/>
          <w:szCs w:val="32"/>
          <w:highlight w:val="none"/>
        </w:rPr>
        <w:t>。</w:t>
      </w:r>
    </w:p>
    <w:p>
      <w:pPr>
        <w:pStyle w:val="38"/>
        <w:pageBreakBefore w:val="0"/>
        <w:numPr>
          <w:ilvl w:val="-1"/>
          <w:numId w:val="0"/>
        </w:numPr>
        <w:kinsoku/>
        <w:wordWrap/>
        <w:overflowPunct/>
        <w:topLinePunct w:val="0"/>
        <w:autoSpaceDE/>
        <w:autoSpaceDN/>
        <w:bidi w:val="0"/>
        <w:adjustRightInd/>
        <w:snapToGrid/>
        <w:spacing w:line="550" w:lineRule="exact"/>
        <w:ind w:leftChars="0" w:firstLine="64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任何市场成员不得违规获取或者泄露未经授权披露的信息。</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50" w:lineRule="exact"/>
        <w:ind w:firstLineChars="0"/>
        <w:jc w:val="center"/>
        <w:textAlignment w:val="auto"/>
        <w:rPr>
          <w:rFonts w:hint="eastAsia" w:ascii="黑体" w:hAnsi="黑体" w:eastAsia="黑体" w:cs="黑体"/>
          <w:b w:val="0"/>
          <w:bCs w:val="0"/>
          <w:color w:val="auto"/>
          <w:sz w:val="32"/>
          <w:szCs w:val="32"/>
          <w:highlight w:val="none"/>
        </w:rPr>
      </w:pPr>
      <w:bookmarkStart w:id="112" w:name="_Toc14892"/>
      <w:bookmarkStart w:id="113" w:name="_Toc17489"/>
      <w:bookmarkStart w:id="114" w:name="_Toc8543"/>
      <w:bookmarkStart w:id="115" w:name="_Toc29709"/>
      <w:bookmarkStart w:id="116" w:name="_Toc25202"/>
      <w:bookmarkStart w:id="117" w:name="_Toc104490866"/>
      <w:bookmarkStart w:id="118" w:name="_Toc13526"/>
      <w:bookmarkStart w:id="119" w:name="_Toc6478"/>
      <w:bookmarkStart w:id="120" w:name="_Toc15456"/>
      <w:bookmarkStart w:id="121" w:name="_Toc10545"/>
      <w:bookmarkStart w:id="122" w:name="_Toc1649"/>
      <w:r>
        <w:rPr>
          <w:rFonts w:hint="default" w:ascii="黑体" w:hAnsi="黑体" w:eastAsia="黑体" w:cs="黑体"/>
          <w:b w:val="0"/>
          <w:bCs w:val="0"/>
          <w:color w:val="auto"/>
          <w:sz w:val="32"/>
          <w:szCs w:val="32"/>
          <w:highlight w:val="none"/>
        </w:rPr>
        <w:t>零售平台</w:t>
      </w:r>
    </w:p>
    <w:p>
      <w:pPr>
        <w:pStyle w:val="46"/>
        <w:pageBreakBefore w:val="0"/>
        <w:numPr>
          <w:ilvl w:val="0"/>
          <w:numId w:val="21"/>
        </w:numPr>
        <w:kinsoku/>
        <w:wordWrap/>
        <w:overflowPunct/>
        <w:topLinePunct w:val="0"/>
        <w:autoSpaceDE/>
        <w:autoSpaceDN/>
        <w:bidi w:val="0"/>
        <w:adjustRightInd/>
        <w:snapToGrid/>
        <w:spacing w:after="157" w:afterLines="50" w:line="550" w:lineRule="exact"/>
        <w:ind w:firstLineChars="0"/>
        <w:jc w:val="center"/>
        <w:textAlignment w:val="auto"/>
        <w:rPr>
          <w:rFonts w:hint="eastAsia" w:ascii="方正楷体简体" w:hAnsi="方正楷体简体" w:eastAsia="方正楷体简体" w:cs="方正楷体简体"/>
          <w:color w:val="auto"/>
          <w:szCs w:val="32"/>
          <w:highlight w:val="none"/>
          <w:lang w:val="en-US"/>
        </w:rPr>
      </w:pPr>
      <w:r>
        <w:rPr>
          <w:rFonts w:hint="eastAsia" w:ascii="方正楷体简体" w:hAnsi="方正楷体简体" w:eastAsia="方正楷体简体" w:cs="方正楷体简体"/>
          <w:color w:val="auto"/>
          <w:sz w:val="32"/>
          <w:szCs w:val="32"/>
          <w:highlight w:val="none"/>
        </w:rPr>
        <w:t>零售</w:t>
      </w:r>
      <w:r>
        <w:rPr>
          <w:rFonts w:hint="eastAsia" w:ascii="方正楷体简体" w:hAnsi="方正楷体简体" w:eastAsia="方正楷体简体" w:cs="方正楷体简体"/>
          <w:color w:val="auto"/>
          <w:sz w:val="32"/>
          <w:szCs w:val="32"/>
          <w:highlight w:val="none"/>
          <w:lang w:val="en-US" w:eastAsia="zh-CN"/>
        </w:rPr>
        <w:t>平台建设</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rPr>
        <w:t>要求]</w:t>
      </w:r>
      <w:r>
        <w:rPr>
          <w:rFonts w:hint="eastAsia" w:ascii="Times New Roman" w:hAnsi="Times New Roman" w:eastAsia="仿宋" w:cs="Times New Roman"/>
          <w:color w:val="auto"/>
          <w:sz w:val="32"/>
          <w:szCs w:val="32"/>
          <w:highlight w:val="none"/>
          <w:lang w:val="en-US" w:eastAsia="zh-CN"/>
        </w:rPr>
        <w:t>电力交易机构建设运营的</w:t>
      </w:r>
      <w:r>
        <w:rPr>
          <w:rFonts w:hint="default" w:ascii="Times New Roman" w:hAnsi="Times New Roman" w:eastAsia="仿宋" w:cs="Times New Roman"/>
          <w:color w:val="auto"/>
          <w:sz w:val="32"/>
          <w:szCs w:val="32"/>
          <w:highlight w:val="none"/>
        </w:rPr>
        <w:t>零售平台须符合国家</w:t>
      </w:r>
      <w:r>
        <w:rPr>
          <w:rFonts w:hint="eastAsia" w:ascii="Times New Roman" w:hAnsi="Times New Roman" w:eastAsia="仿宋" w:cs="Times New Roman"/>
          <w:color w:val="auto"/>
          <w:sz w:val="32"/>
          <w:szCs w:val="32"/>
          <w:highlight w:val="none"/>
          <w:lang w:eastAsia="zh-CN"/>
        </w:rPr>
        <w:t>和省</w:t>
      </w:r>
      <w:r>
        <w:rPr>
          <w:rFonts w:hint="default" w:ascii="Times New Roman" w:hAnsi="Times New Roman" w:eastAsia="仿宋" w:cs="Times New Roman"/>
          <w:color w:val="auto"/>
          <w:sz w:val="32"/>
          <w:szCs w:val="32"/>
          <w:highlight w:val="none"/>
        </w:rPr>
        <w:t>有关技术标准和行业标准，保障电力零售市场运营所需的数据安全和网络安全。平台的建设充分考虑安全性、可靠性、高效性和可扩展性原则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实现应用前后端分离，前端关注界面展现，后端关注业务逻辑。在硬件资源充足的情况下</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零售平台应能</w:t>
      </w:r>
      <w:r>
        <w:rPr>
          <w:rFonts w:hint="default" w:ascii="Times New Roman" w:hAnsi="Times New Roman" w:eastAsia="仿宋" w:cs="Times New Roman"/>
          <w:color w:val="auto"/>
          <w:sz w:val="32"/>
          <w:szCs w:val="32"/>
          <w:highlight w:val="none"/>
        </w:rPr>
        <w:t>支持高可用、高并发场景，</w:t>
      </w:r>
      <w:r>
        <w:rPr>
          <w:rFonts w:hint="eastAsia"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rPr>
        <w:t>具备良好的容错容灾能力。</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功能</w:t>
      </w:r>
      <w:r>
        <w:rPr>
          <w:rFonts w:hint="default" w:ascii="Times New Roman" w:hAnsi="Times New Roman" w:eastAsia="仿宋" w:cs="Times New Roman"/>
          <w:color w:val="auto"/>
          <w:sz w:val="32"/>
          <w:szCs w:val="32"/>
          <w:highlight w:val="none"/>
        </w:rPr>
        <w:t>要求]零售平台</w:t>
      </w:r>
      <w:r>
        <w:rPr>
          <w:rFonts w:hint="eastAsia" w:ascii="Times New Roman" w:hAnsi="Times New Roman" w:eastAsia="仿宋" w:cs="Times New Roman"/>
          <w:color w:val="auto"/>
          <w:sz w:val="32"/>
          <w:szCs w:val="32"/>
          <w:highlight w:val="none"/>
          <w:lang w:val="en-US" w:eastAsia="zh-CN"/>
        </w:rPr>
        <w:t>是</w:t>
      </w:r>
      <w:r>
        <w:rPr>
          <w:rFonts w:hint="default" w:ascii="Times New Roman" w:hAnsi="Times New Roman" w:eastAsia="仿宋" w:cs="Times New Roman"/>
          <w:color w:val="auto"/>
          <w:sz w:val="32"/>
          <w:szCs w:val="32"/>
          <w:highlight w:val="none"/>
        </w:rPr>
        <w:t>专供广东电力零售市场开展电力交易的信息技术系统</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提供一站式、全流程的线上电力零售交易、合同备案登记等功能，为售电公司提供店铺管理、客户管理、零售套餐管理、数据分析、合同备案登记等功能，为</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提供全方位的零售市场运营管理、风险监控、数据分析等功能。</w:t>
      </w:r>
      <w:r>
        <w:rPr>
          <w:rFonts w:hint="eastAsia" w:ascii="Times New Roman" w:hAnsi="Times New Roman" w:eastAsia="仿宋" w:cs="Times New Roman"/>
          <w:color w:val="auto"/>
          <w:sz w:val="32"/>
          <w:szCs w:val="32"/>
          <w:highlight w:val="none"/>
          <w:lang w:val="en-US" w:eastAsia="zh-CN"/>
        </w:rPr>
        <w:t>零售平台具备技术条件时，可向售电公司开放有关数据接口。</w:t>
      </w:r>
    </w:p>
    <w:p>
      <w:pPr>
        <w:pStyle w:val="46"/>
        <w:pageBreakBefore w:val="0"/>
        <w:numPr>
          <w:ilvl w:val="0"/>
          <w:numId w:val="21"/>
        </w:numPr>
        <w:kinsoku/>
        <w:wordWrap/>
        <w:overflowPunct/>
        <w:topLinePunct w:val="0"/>
        <w:autoSpaceDE/>
        <w:autoSpaceDN/>
        <w:bidi w:val="0"/>
        <w:adjustRightInd/>
        <w:snapToGrid/>
        <w:spacing w:before="157" w:beforeLines="50" w:after="157" w:afterLines="50" w:line="560" w:lineRule="exact"/>
        <w:ind w:firstLineChars="0"/>
        <w:jc w:val="center"/>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零售</w:t>
      </w:r>
      <w:r>
        <w:rPr>
          <w:rFonts w:hint="eastAsia" w:ascii="方正楷体简体" w:hAnsi="方正楷体简体" w:eastAsia="方正楷体简体" w:cs="方正楷体简体"/>
          <w:color w:val="auto"/>
          <w:sz w:val="32"/>
          <w:szCs w:val="32"/>
          <w:highlight w:val="none"/>
          <w:lang w:val="en-US" w:eastAsia="zh-CN"/>
        </w:rPr>
        <w:t>平台运营</w:t>
      </w:r>
    </w:p>
    <w:p>
      <w:pPr>
        <w:pStyle w:val="38"/>
        <w:numPr>
          <w:ilvl w:val="0"/>
          <w:numId w:val="4"/>
        </w:numPr>
        <w:spacing w:line="560" w:lineRule="exact"/>
        <w:ind w:firstLine="6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[运营</w:t>
      </w:r>
      <w:r>
        <w:rPr>
          <w:rFonts w:hint="default" w:ascii="Times New Roman" w:hAnsi="Times New Roman" w:eastAsia="仿宋" w:cs="Times New Roman"/>
          <w:color w:val="auto"/>
          <w:sz w:val="32"/>
          <w:szCs w:val="32"/>
          <w:highlight w:val="none"/>
          <w:lang w:val="en-US" w:eastAsia="zh-CN"/>
        </w:rPr>
        <w:t>要求</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负责零售平台的日常运营</w:t>
      </w:r>
      <w:r>
        <w:rPr>
          <w:rFonts w:hint="eastAsia" w:ascii="Times New Roman" w:hAnsi="Times New Roman" w:eastAsia="仿宋" w:cs="Times New Roman"/>
          <w:color w:val="auto"/>
          <w:sz w:val="32"/>
          <w:szCs w:val="32"/>
          <w:highlight w:val="none"/>
          <w:lang w:eastAsia="zh-CN"/>
        </w:rPr>
        <w:t>，研究</w:t>
      </w:r>
      <w:r>
        <w:rPr>
          <w:rFonts w:hint="eastAsia" w:ascii="Times New Roman" w:hAnsi="Times New Roman" w:eastAsia="仿宋" w:cs="Times New Roman"/>
          <w:color w:val="auto"/>
          <w:sz w:val="32"/>
          <w:szCs w:val="32"/>
          <w:highlight w:val="none"/>
          <w:lang w:val="en-US" w:eastAsia="zh-CN"/>
        </w:rPr>
        <w:t>建立</w:t>
      </w:r>
      <w:r>
        <w:rPr>
          <w:rFonts w:hint="eastAsia" w:ascii="Times New Roman" w:hAnsi="Times New Roman" w:eastAsia="仿宋" w:cs="Times New Roman"/>
          <w:color w:val="auto"/>
          <w:sz w:val="32"/>
          <w:szCs w:val="32"/>
          <w:highlight w:val="none"/>
          <w:lang w:eastAsia="zh-CN"/>
        </w:rPr>
        <w:t>零售平台运营评价标准，</w:t>
      </w:r>
      <w:r>
        <w:rPr>
          <w:rFonts w:hint="eastAsia" w:ascii="Times New Roman" w:hAnsi="Times New Roman" w:eastAsia="仿宋" w:cs="Times New Roman"/>
          <w:color w:val="auto"/>
          <w:sz w:val="32"/>
          <w:szCs w:val="32"/>
          <w:highlight w:val="none"/>
          <w:lang w:val="en-US" w:eastAsia="zh-CN"/>
        </w:rPr>
        <w:t>并做好零售平台运营监控</w:t>
      </w:r>
      <w:r>
        <w:rPr>
          <w:rFonts w:hint="default" w:ascii="Times New Roman" w:hAnsi="Times New Roman" w:eastAsia="仿宋" w:cs="Times New Roman"/>
          <w:color w:val="auto"/>
          <w:sz w:val="32"/>
          <w:szCs w:val="32"/>
          <w:highlight w:val="none"/>
        </w:rPr>
        <w:t>。为规范售电公司和</w:t>
      </w:r>
      <w:r>
        <w:rPr>
          <w:rFonts w:hint="eastAsia" w:ascii="Times New Roman" w:hAnsi="Times New Roman" w:eastAsia="仿宋" w:cs="Times New Roman"/>
          <w:color w:val="auto"/>
          <w:sz w:val="32"/>
          <w:szCs w:val="32"/>
          <w:highlight w:val="none"/>
          <w:lang w:val="en-US" w:eastAsia="zh-CN"/>
        </w:rPr>
        <w:t>零售用户</w:t>
      </w:r>
      <w:r>
        <w:rPr>
          <w:rFonts w:hint="default" w:ascii="Times New Roman" w:hAnsi="Times New Roman" w:eastAsia="仿宋" w:cs="Times New Roman"/>
          <w:color w:val="auto"/>
          <w:sz w:val="32"/>
          <w:szCs w:val="32"/>
          <w:highlight w:val="none"/>
        </w:rPr>
        <w:t>的使用行为，</w:t>
      </w:r>
      <w:r>
        <w:rPr>
          <w:rFonts w:hint="eastAsia" w:ascii="Times New Roman" w:hAnsi="Times New Roman" w:eastAsia="仿宋" w:cs="Times New Roman"/>
          <w:color w:val="auto"/>
          <w:sz w:val="32"/>
          <w:szCs w:val="32"/>
          <w:highlight w:val="none"/>
          <w:lang w:eastAsia="zh-CN"/>
        </w:rPr>
        <w:t>电力交易机构</w:t>
      </w:r>
      <w:r>
        <w:rPr>
          <w:rFonts w:hint="default" w:ascii="Times New Roman" w:hAnsi="Times New Roman" w:eastAsia="仿宋" w:cs="Times New Roman"/>
          <w:color w:val="auto"/>
          <w:sz w:val="32"/>
          <w:szCs w:val="32"/>
          <w:highlight w:val="none"/>
        </w:rPr>
        <w:t>可以结合业务发展需要发布电力零售平台使用规范。</w:t>
      </w:r>
    </w:p>
    <w:p>
      <w:pPr>
        <w:pStyle w:val="38"/>
        <w:numPr>
          <w:ilvl w:val="0"/>
          <w:numId w:val="4"/>
        </w:numPr>
        <w:spacing w:line="560" w:lineRule="exact"/>
        <w:ind w:firstLine="6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运维要求</w:t>
      </w:r>
      <w:r>
        <w:rPr>
          <w:rFonts w:hint="default" w:ascii="Times New Roman" w:hAnsi="Times New Roman" w:eastAsia="仿宋" w:cs="Times New Roman"/>
          <w:color w:val="auto"/>
          <w:sz w:val="32"/>
          <w:szCs w:val="32"/>
          <w:highlight w:val="none"/>
        </w:rPr>
        <w:t>]零售平台系统须考虑组织结构管理、权限管理、流程管理等方面的运维模式和运维要求，系统应满足快速查询和高效分析的</w:t>
      </w:r>
      <w:r>
        <w:rPr>
          <w:rFonts w:hint="eastAsia" w:ascii="Times New Roman" w:hAnsi="Times New Roman" w:eastAsia="仿宋" w:cs="Times New Roman"/>
          <w:color w:val="auto"/>
          <w:sz w:val="32"/>
          <w:szCs w:val="32"/>
          <w:highlight w:val="none"/>
          <w:lang w:val="en-US" w:eastAsia="zh-CN"/>
        </w:rPr>
        <w:t>要</w:t>
      </w:r>
      <w:r>
        <w:rPr>
          <w:rFonts w:hint="default" w:ascii="Times New Roman" w:hAnsi="Times New Roman" w:eastAsia="仿宋" w:cs="Times New Roman"/>
          <w:color w:val="auto"/>
          <w:sz w:val="32"/>
          <w:szCs w:val="32"/>
          <w:highlight w:val="none"/>
        </w:rPr>
        <w:t>求，确保系统操作有记录、可回溯，包括但不限于：</w:t>
      </w:r>
    </w:p>
    <w:p>
      <w:pPr>
        <w:pStyle w:val="38"/>
        <w:numPr>
          <w:ilvl w:val="-1"/>
          <w:numId w:val="0"/>
        </w:numPr>
        <w:spacing w:line="560" w:lineRule="exact"/>
        <w:ind w:leftChars="0" w:firstLine="640" w:firstLineChars="200"/>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一</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零售平台账户的开通、调整及注销等操作均有记录。</w:t>
      </w:r>
    </w:p>
    <w:p>
      <w:pPr>
        <w:pStyle w:val="38"/>
        <w:numPr>
          <w:ilvl w:val="-1"/>
          <w:numId w:val="0"/>
        </w:numPr>
        <w:spacing w:line="560" w:lineRule="exact"/>
        <w:ind w:leftChars="0" w:firstLine="640" w:firstLineChars="200"/>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二</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零售平台应当保存用户关键操作曰志，包括但不限于系统用户所使用的</w:t>
      </w:r>
      <w:r>
        <w:rPr>
          <w:rFonts w:hint="eastAsia" w:ascii="Times New Roman" w:hAnsi="Times New Roman" w:eastAsia="仿宋" w:cs="Times New Roman"/>
          <w:color w:val="auto"/>
          <w:sz w:val="32"/>
          <w:szCs w:val="32"/>
          <w:highlight w:val="none"/>
          <w:lang w:val="en-US" w:eastAsia="zh-CN"/>
        </w:rPr>
        <w:t>终端</w:t>
      </w:r>
      <w:r>
        <w:rPr>
          <w:rFonts w:hint="default" w:ascii="Times New Roman" w:hAnsi="Times New Roman" w:eastAsia="仿宋" w:cs="Times New Roman"/>
          <w:color w:val="auto"/>
          <w:sz w:val="32"/>
          <w:szCs w:val="32"/>
          <w:highlight w:val="none"/>
        </w:rPr>
        <w:t>MAC地址、网络IP、登录地址、操作时间、操作内容等。</w:t>
      </w:r>
    </w:p>
    <w:p>
      <w:pPr>
        <w:pStyle w:val="38"/>
        <w:numPr>
          <w:ilvl w:val="-1"/>
          <w:numId w:val="0"/>
        </w:numPr>
        <w:spacing w:line="560" w:lineRule="exact"/>
        <w:ind w:leftChars="0"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三</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零售平台应当保存零售交易全过程日志，对零售交易全过程可回溯和还原。</w:t>
      </w:r>
    </w:p>
    <w:p>
      <w:pPr>
        <w:pStyle w:val="3"/>
        <w:pageBreakBefore w:val="0"/>
        <w:numPr>
          <w:ilvl w:val="0"/>
          <w:numId w:val="3"/>
        </w:numPr>
        <w:kinsoku/>
        <w:wordWrap/>
        <w:overflowPunct/>
        <w:topLinePunct w:val="0"/>
        <w:autoSpaceDE/>
        <w:autoSpaceDN/>
        <w:bidi w:val="0"/>
        <w:adjustRightInd/>
        <w:snapToGrid/>
        <w:spacing w:before="157" w:beforeLines="50" w:after="157" w:afterLines="50" w:line="560" w:lineRule="exact"/>
        <w:ind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零售</w:t>
      </w:r>
      <w:r>
        <w:rPr>
          <w:rFonts w:hint="eastAsia" w:ascii="黑体" w:hAnsi="黑体" w:eastAsia="黑体" w:cs="黑体"/>
          <w:b w:val="0"/>
          <w:bCs w:val="0"/>
          <w:color w:val="auto"/>
          <w:sz w:val="32"/>
          <w:szCs w:val="32"/>
          <w:highlight w:val="none"/>
          <w:lang w:eastAsia="zh-CN"/>
        </w:rPr>
        <w:t>争议处理</w:t>
      </w:r>
    </w:p>
    <w:p>
      <w:pPr>
        <w:pStyle w:val="38"/>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零售争议</w:t>
      </w:r>
      <w:r>
        <w:rPr>
          <w:rFonts w:hint="eastAsia" w:ascii="Times New Roman" w:hAnsi="Times New Roman" w:eastAsia="仿宋" w:cs="Times New Roman"/>
          <w:color w:val="auto"/>
          <w:sz w:val="32"/>
          <w:szCs w:val="32"/>
          <w:highlight w:val="none"/>
          <w:lang w:val="en-US" w:eastAsia="zh-CN"/>
        </w:rPr>
        <w:t>情形</w:t>
      </w:r>
      <w:r>
        <w:rPr>
          <w:rFonts w:hint="default" w:ascii="Times New Roman" w:hAnsi="Times New Roman" w:eastAsia="仿宋" w:cs="Times New Roman"/>
          <w:color w:val="auto"/>
          <w:sz w:val="32"/>
          <w:szCs w:val="32"/>
          <w:highlight w:val="none"/>
        </w:rPr>
        <w:t>]电力零售市场争议纠纷包括</w:t>
      </w:r>
      <w:r>
        <w:rPr>
          <w:rFonts w:hint="eastAsia" w:ascii="Times New Roman" w:hAnsi="Times New Roman" w:eastAsia="仿宋" w:cs="Times New Roman"/>
          <w:color w:val="auto"/>
          <w:sz w:val="32"/>
          <w:szCs w:val="32"/>
          <w:highlight w:val="none"/>
          <w:lang w:val="en-US" w:eastAsia="zh-CN"/>
        </w:rPr>
        <w:t>售电公司</w:t>
      </w:r>
      <w:r>
        <w:rPr>
          <w:rFonts w:hint="default" w:ascii="Times New Roman" w:hAnsi="Times New Roman" w:eastAsia="仿宋" w:cs="Times New Roman"/>
          <w:color w:val="auto"/>
          <w:sz w:val="32"/>
          <w:szCs w:val="32"/>
          <w:highlight w:val="none"/>
        </w:rPr>
        <w:t>之间、</w:t>
      </w:r>
      <w:r>
        <w:rPr>
          <w:rFonts w:hint="eastAsia" w:ascii="Times New Roman" w:hAnsi="Times New Roman" w:eastAsia="仿宋" w:cs="Times New Roman"/>
          <w:color w:val="auto"/>
          <w:sz w:val="32"/>
          <w:szCs w:val="32"/>
          <w:highlight w:val="none"/>
          <w:lang w:val="en-US" w:eastAsia="zh-CN"/>
        </w:rPr>
        <w:t>售电公司与零售用户之间</w:t>
      </w:r>
      <w:r>
        <w:rPr>
          <w:rFonts w:hint="default" w:ascii="Times New Roman" w:hAnsi="Times New Roman" w:eastAsia="仿宋" w:cs="Times New Roman"/>
          <w:color w:val="auto"/>
          <w:sz w:val="32"/>
          <w:szCs w:val="32"/>
          <w:highlight w:val="none"/>
        </w:rPr>
        <w:t>因电力零售市场交易发生的争议纠纷，包括但不限于下列情形：</w:t>
      </w:r>
    </w:p>
    <w:p>
      <w:pPr>
        <w:pStyle w:val="46"/>
        <w:pageBreakBefore w:val="0"/>
        <w:numPr>
          <w:ilvl w:val="0"/>
          <w:numId w:val="22"/>
        </w:numPr>
        <w:kinsoku/>
        <w:wordWrap/>
        <w:overflowPunct/>
        <w:topLinePunct w:val="0"/>
        <w:autoSpaceDE/>
        <w:autoSpaceDN/>
        <w:bidi w:val="0"/>
        <w:adjustRightInd/>
        <w:snapToGrid/>
        <w:spacing w:line="56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因</w:t>
      </w:r>
      <w:r>
        <w:rPr>
          <w:rFonts w:hint="eastAsia" w:cs="Times New Roman"/>
          <w:color w:val="auto"/>
          <w:sz w:val="32"/>
          <w:szCs w:val="32"/>
          <w:highlight w:val="none"/>
          <w:lang w:val="en-US" w:eastAsia="zh-CN"/>
        </w:rPr>
        <w:t>零售套餐内容</w:t>
      </w:r>
      <w:r>
        <w:rPr>
          <w:rFonts w:hint="default" w:ascii="Times New Roman" w:hAnsi="Times New Roman" w:cs="Times New Roman"/>
          <w:color w:val="auto"/>
          <w:sz w:val="32"/>
          <w:szCs w:val="32"/>
          <w:highlight w:val="none"/>
        </w:rPr>
        <w:t>产生的争议；</w:t>
      </w:r>
    </w:p>
    <w:p>
      <w:pPr>
        <w:pStyle w:val="46"/>
        <w:pageBreakBefore w:val="0"/>
        <w:numPr>
          <w:ilvl w:val="0"/>
          <w:numId w:val="22"/>
        </w:numPr>
        <w:kinsoku/>
        <w:wordWrap/>
        <w:overflowPunct/>
        <w:topLinePunct w:val="0"/>
        <w:autoSpaceDE/>
        <w:autoSpaceDN/>
        <w:bidi w:val="0"/>
        <w:adjustRightInd/>
        <w:snapToGrid/>
        <w:spacing w:line="58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因</w:t>
      </w:r>
      <w:r>
        <w:rPr>
          <w:rFonts w:hint="eastAsia" w:cs="Times New Roman"/>
          <w:color w:val="auto"/>
          <w:sz w:val="32"/>
          <w:szCs w:val="32"/>
          <w:highlight w:val="none"/>
          <w:lang w:val="en-US" w:eastAsia="zh-CN"/>
        </w:rPr>
        <w:t>零售合同条款</w:t>
      </w:r>
      <w:r>
        <w:rPr>
          <w:rFonts w:hint="default" w:ascii="Times New Roman" w:hAnsi="Times New Roman" w:cs="Times New Roman"/>
          <w:color w:val="auto"/>
          <w:sz w:val="32"/>
          <w:szCs w:val="32"/>
          <w:highlight w:val="none"/>
        </w:rPr>
        <w:t>产生的争议；</w:t>
      </w:r>
    </w:p>
    <w:p>
      <w:pPr>
        <w:pStyle w:val="46"/>
        <w:pageBreakBefore w:val="0"/>
        <w:numPr>
          <w:ilvl w:val="0"/>
          <w:numId w:val="22"/>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因</w:t>
      </w:r>
      <w:r>
        <w:rPr>
          <w:rFonts w:hint="eastAsia" w:cs="Times New Roman"/>
          <w:color w:val="auto"/>
          <w:sz w:val="32"/>
          <w:szCs w:val="32"/>
          <w:highlight w:val="none"/>
          <w:lang w:val="en-US" w:eastAsia="zh-CN"/>
        </w:rPr>
        <w:t>零售市场</w:t>
      </w:r>
      <w:r>
        <w:rPr>
          <w:rFonts w:hint="default" w:ascii="Times New Roman" w:hAnsi="Times New Roman" w:cs="Times New Roman"/>
          <w:color w:val="auto"/>
          <w:sz w:val="32"/>
          <w:szCs w:val="32"/>
          <w:highlight w:val="none"/>
        </w:rPr>
        <w:t>费用结算和清算产生的争议；</w:t>
      </w:r>
    </w:p>
    <w:p>
      <w:pPr>
        <w:pStyle w:val="46"/>
        <w:pageBreakBefore w:val="0"/>
        <w:numPr>
          <w:ilvl w:val="0"/>
          <w:numId w:val="22"/>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因</w:t>
      </w:r>
      <w:r>
        <w:rPr>
          <w:rFonts w:hint="eastAsia" w:cs="Times New Roman"/>
          <w:color w:val="auto"/>
          <w:sz w:val="32"/>
          <w:szCs w:val="32"/>
          <w:highlight w:val="none"/>
          <w:lang w:val="en-US" w:eastAsia="zh-CN"/>
        </w:rPr>
        <w:t>售电</w:t>
      </w:r>
      <w:r>
        <w:rPr>
          <w:rFonts w:hint="default" w:ascii="Times New Roman" w:hAnsi="Times New Roman" w:cs="Times New Roman"/>
          <w:color w:val="auto"/>
          <w:sz w:val="32"/>
          <w:szCs w:val="32"/>
          <w:highlight w:val="none"/>
        </w:rPr>
        <w:t>服务产生的争议；</w:t>
      </w:r>
    </w:p>
    <w:p>
      <w:pPr>
        <w:pStyle w:val="46"/>
        <w:pageBreakBefore w:val="0"/>
        <w:numPr>
          <w:ilvl w:val="0"/>
          <w:numId w:val="22"/>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其他与电力零售市场</w:t>
      </w:r>
      <w:r>
        <w:rPr>
          <w:rFonts w:hint="eastAsia" w:cs="Times New Roman"/>
          <w:color w:val="auto"/>
          <w:sz w:val="32"/>
          <w:szCs w:val="32"/>
          <w:highlight w:val="none"/>
          <w:lang w:val="en-US" w:eastAsia="zh-CN"/>
        </w:rPr>
        <w:t>交易</w:t>
      </w:r>
      <w:r>
        <w:rPr>
          <w:rFonts w:hint="default" w:ascii="Times New Roman" w:hAnsi="Times New Roman" w:cs="Times New Roman"/>
          <w:color w:val="auto"/>
          <w:sz w:val="32"/>
          <w:szCs w:val="32"/>
          <w:highlight w:val="none"/>
        </w:rPr>
        <w:t>相关的争议。</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[处理渠道]广东电力市场管理委员会应按照有关要求和程序建立电力零售市场争议调解工作制度，对电力零售市场争议纠纷进行调解。</w:t>
      </w:r>
    </w:p>
    <w:p>
      <w:pPr>
        <w:pStyle w:val="38"/>
        <w:pageBreakBefore w:val="0"/>
        <w:numPr>
          <w:ilvl w:val="0"/>
          <w:numId w:val="4"/>
        </w:numPr>
        <w:kinsoku/>
        <w:wordWrap/>
        <w:overflowPunct/>
        <w:topLinePunct w:val="0"/>
        <w:autoSpaceDE/>
        <w:autoSpaceDN/>
        <w:bidi w:val="0"/>
        <w:adjustRightInd/>
        <w:snapToGrid/>
        <w:spacing w:line="550" w:lineRule="exact"/>
        <w:ind w:firstLine="600"/>
        <w:textAlignment w:val="auto"/>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[处理流程]</w:t>
      </w:r>
      <w:r>
        <w:rPr>
          <w:rFonts w:hint="default" w:ascii="Times New Roman" w:hAnsi="Times New Roman" w:eastAsia="仿宋" w:cs="Times New Roman"/>
          <w:color w:val="auto"/>
          <w:sz w:val="32"/>
          <w:szCs w:val="32"/>
          <w:highlight w:val="none"/>
          <w:lang w:val="en-US" w:eastAsia="zh-CN"/>
        </w:rPr>
        <w:t>主要流程包括：</w:t>
      </w:r>
    </w:p>
    <w:p>
      <w:pPr>
        <w:pStyle w:val="46"/>
        <w:pageBreakBefore w:val="0"/>
        <w:numPr>
          <w:ilvl w:val="0"/>
          <w:numId w:val="23"/>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监督举报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售电公司、</w:t>
      </w:r>
      <w:r>
        <w:rPr>
          <w:rFonts w:hint="default" w:ascii="Times New Roman" w:hAnsi="Times New Roman" w:cs="Times New Roman"/>
          <w:color w:val="auto"/>
          <w:sz w:val="32"/>
          <w:szCs w:val="32"/>
          <w:highlight w:val="none"/>
          <w:lang w:val="en-US" w:eastAsia="zh-CN"/>
        </w:rPr>
        <w:t>零售用户</w:t>
      </w:r>
      <w:r>
        <w:rPr>
          <w:rFonts w:hint="default" w:ascii="Times New Roman" w:hAnsi="Times New Roman" w:cs="Times New Roman"/>
          <w:color w:val="auto"/>
          <w:sz w:val="32"/>
          <w:szCs w:val="32"/>
          <w:highlight w:val="none"/>
        </w:rPr>
        <w:t>对发现的违反自律管理制度的交易行为，应当及时向市场管理委员会、</w:t>
      </w:r>
      <w:r>
        <w:rPr>
          <w:rFonts w:hint="eastAsia" w:cs="Times New Roman"/>
          <w:color w:val="auto"/>
          <w:sz w:val="32"/>
          <w:szCs w:val="32"/>
          <w:highlight w:val="none"/>
          <w:lang w:eastAsia="zh-CN"/>
        </w:rPr>
        <w:t>电力交易机构</w:t>
      </w:r>
      <w:r>
        <w:rPr>
          <w:rFonts w:hint="default" w:ascii="Times New Roman" w:hAnsi="Times New Roman" w:cs="Times New Roman"/>
          <w:color w:val="auto"/>
          <w:sz w:val="32"/>
          <w:szCs w:val="32"/>
          <w:highlight w:val="none"/>
        </w:rPr>
        <w:t>报告。</w:t>
      </w:r>
    </w:p>
    <w:p>
      <w:pPr>
        <w:pStyle w:val="46"/>
        <w:pageBreakBefore w:val="0"/>
        <w:numPr>
          <w:ilvl w:val="0"/>
          <w:numId w:val="23"/>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调解程序</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发生电力零售市场争议纠纷时，</w:t>
      </w:r>
      <w:r>
        <w:rPr>
          <w:rFonts w:hint="default" w:ascii="Times New Roman" w:hAnsi="Times New Roman" w:cs="Times New Roman"/>
          <w:color w:val="auto"/>
          <w:sz w:val="32"/>
          <w:szCs w:val="32"/>
          <w:highlight w:val="none"/>
          <w:lang w:val="en-US" w:eastAsia="zh-CN"/>
        </w:rPr>
        <w:t>由</w:t>
      </w:r>
      <w:r>
        <w:rPr>
          <w:rFonts w:hint="default" w:ascii="Times New Roman" w:hAnsi="Times New Roman" w:cs="Times New Roman"/>
          <w:color w:val="auto"/>
          <w:sz w:val="32"/>
          <w:szCs w:val="32"/>
          <w:highlight w:val="none"/>
        </w:rPr>
        <w:t>当事人协商解决。协商</w:t>
      </w:r>
      <w:r>
        <w:rPr>
          <w:rFonts w:hint="eastAsia" w:cs="Times New Roman"/>
          <w:color w:val="auto"/>
          <w:sz w:val="32"/>
          <w:szCs w:val="32"/>
          <w:highlight w:val="none"/>
          <w:lang w:val="en-US" w:eastAsia="zh-CN"/>
        </w:rPr>
        <w:t>不成</w:t>
      </w:r>
      <w:r>
        <w:rPr>
          <w:rFonts w:hint="default" w:ascii="Times New Roman" w:hAnsi="Times New Roman" w:cs="Times New Roman"/>
          <w:color w:val="auto"/>
          <w:sz w:val="32"/>
          <w:szCs w:val="32"/>
          <w:highlight w:val="none"/>
        </w:rPr>
        <w:t>的，任何一方可向</w:t>
      </w:r>
      <w:r>
        <w:rPr>
          <w:rFonts w:hint="default" w:ascii="Times New Roman" w:hAnsi="Times New Roman" w:eastAsia="仿宋" w:cs="Times New Roman"/>
          <w:color w:val="auto"/>
          <w:sz w:val="32"/>
          <w:szCs w:val="32"/>
          <w:highlight w:val="none"/>
        </w:rPr>
        <w:t>广东电力市场管理委员会</w:t>
      </w:r>
      <w:r>
        <w:rPr>
          <w:rFonts w:hint="default" w:ascii="Times New Roman" w:hAnsi="Times New Roman" w:cs="Times New Roman"/>
          <w:color w:val="auto"/>
          <w:sz w:val="32"/>
          <w:szCs w:val="32"/>
          <w:highlight w:val="none"/>
        </w:rPr>
        <w:t>申请调解。</w:t>
      </w:r>
    </w:p>
    <w:p>
      <w:pPr>
        <w:pStyle w:val="46"/>
        <w:pageBreakBefore w:val="0"/>
        <w:numPr>
          <w:ilvl w:val="0"/>
          <w:numId w:val="23"/>
        </w:numPr>
        <w:kinsoku/>
        <w:wordWrap/>
        <w:overflowPunct/>
        <w:topLinePunct w:val="0"/>
        <w:autoSpaceDE/>
        <w:autoSpaceDN/>
        <w:bidi w:val="0"/>
        <w:adjustRightInd/>
        <w:snapToGrid/>
        <w:spacing w:line="550" w:lineRule="exact"/>
        <w:ind w:firstLine="960" w:firstLineChars="300"/>
        <w:textAlignment w:val="auto"/>
        <w:rPr>
          <w:rFonts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保守商秘</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参与电力零售市场争议纠纷调解的人员应当依法</w:t>
      </w:r>
      <w:r>
        <w:rPr>
          <w:rFonts w:hint="eastAsia" w:cs="Times New Roman"/>
          <w:color w:val="auto"/>
          <w:sz w:val="32"/>
          <w:szCs w:val="32"/>
          <w:highlight w:val="none"/>
          <w:lang w:val="en-US" w:eastAsia="zh-CN"/>
        </w:rPr>
        <w:t>对</w:t>
      </w:r>
      <w:r>
        <w:rPr>
          <w:rFonts w:hint="default" w:ascii="Times New Roman" w:hAnsi="Times New Roman" w:cs="Times New Roman"/>
          <w:color w:val="auto"/>
          <w:sz w:val="32"/>
          <w:szCs w:val="32"/>
          <w:highlight w:val="none"/>
        </w:rPr>
        <w:t>在调解过程中获知的涉及商业秘密和个人隐私的信息</w:t>
      </w:r>
      <w:r>
        <w:rPr>
          <w:rFonts w:hint="eastAsia" w:cs="Times New Roman"/>
          <w:color w:val="auto"/>
          <w:sz w:val="32"/>
          <w:szCs w:val="32"/>
          <w:highlight w:val="none"/>
          <w:lang w:val="en-US" w:eastAsia="zh-CN"/>
        </w:rPr>
        <w:t>予以保密</w:t>
      </w:r>
      <w:r>
        <w:rPr>
          <w:rFonts w:hint="default" w:ascii="Times New Roman" w:hAnsi="Times New Roman" w:cs="Times New Roman"/>
          <w:color w:val="auto"/>
          <w:sz w:val="32"/>
          <w:szCs w:val="32"/>
          <w:highlight w:val="none"/>
        </w:rPr>
        <w:t>。</w:t>
      </w:r>
    </w:p>
    <w:p>
      <w:pPr>
        <w:pStyle w:val="3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550" w:lineRule="exact"/>
        <w:ind w:left="0" w:firstLine="600" w:firstLineChars="0"/>
        <w:jc w:val="both"/>
        <w:textAlignment w:val="auto"/>
        <w:rPr>
          <w:rFonts w:hint="eastAsia" w:ascii="黑体" w:hAnsi="黑体" w:eastAsia="黑体" w:cs="黑体"/>
          <w:b w:val="0"/>
          <w:bCs w:val="0"/>
          <w:color w:val="auto"/>
          <w:sz w:val="32"/>
          <w:szCs w:val="32"/>
          <w:highlight w:val="none"/>
        </w:rPr>
      </w:pPr>
      <w:r>
        <w:rPr>
          <w:rFonts w:hint="default" w:ascii="Times New Roman" w:hAnsi="Times New Roman" w:eastAsia="仿宋" w:cs="Times New Roman"/>
          <w:color w:val="auto"/>
          <w:sz w:val="32"/>
          <w:szCs w:val="32"/>
          <w:highlight w:val="none"/>
        </w:rPr>
        <w:t>[处理原则]售电公司应建立、健全</w:t>
      </w:r>
      <w:r>
        <w:rPr>
          <w:rFonts w:hint="default" w:ascii="Times New Roman" w:hAnsi="Times New Roman" w:eastAsia="仿宋" w:cs="Times New Roman"/>
          <w:color w:val="auto"/>
          <w:sz w:val="32"/>
          <w:szCs w:val="32"/>
          <w:highlight w:val="none"/>
          <w:lang w:val="en-US" w:eastAsia="zh-CN"/>
        </w:rPr>
        <w:t>零售</w:t>
      </w:r>
      <w:r>
        <w:rPr>
          <w:rFonts w:hint="default" w:ascii="Times New Roman" w:hAnsi="Times New Roman" w:eastAsia="仿宋" w:cs="Times New Roman"/>
          <w:color w:val="auto"/>
          <w:sz w:val="32"/>
          <w:szCs w:val="32"/>
          <w:highlight w:val="none"/>
        </w:rPr>
        <w:t>用户投诉处理机制，公开投诉处理流程，妥善处理零售用户投诉及与零售用户的纠纷。小型用户与售电公司发生纠纷的，售电公司应当证明其行为符合法律、行政法规及市场自律管理制度的要求。</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50" w:lineRule="exact"/>
        <w:ind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市场秩序</w:t>
      </w:r>
      <w:bookmarkEnd w:id="112"/>
      <w:bookmarkEnd w:id="113"/>
      <w:bookmarkEnd w:id="114"/>
      <w:bookmarkEnd w:id="115"/>
      <w:bookmarkEnd w:id="116"/>
      <w:bookmarkEnd w:id="117"/>
      <w:bookmarkEnd w:id="118"/>
      <w:bookmarkEnd w:id="119"/>
      <w:bookmarkEnd w:id="120"/>
      <w:bookmarkEnd w:id="121"/>
      <w:bookmarkEnd w:id="122"/>
    </w:p>
    <w:p>
      <w:pPr>
        <w:pStyle w:val="38"/>
        <w:numPr>
          <w:ilvl w:val="0"/>
          <w:numId w:val="4"/>
        </w:numPr>
        <w:spacing w:line="550" w:lineRule="exact"/>
        <w:ind w:firstLine="640"/>
        <w:rPr>
          <w:rFonts w:hint="eastAsia"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违规处理</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rPr>
        <w:t>市场成员</w:t>
      </w:r>
      <w:r>
        <w:rPr>
          <w:rFonts w:hint="eastAsia" w:ascii="Times New Roman" w:hAnsi="Times New Roman" w:eastAsia="仿宋" w:cs="Times New Roman"/>
          <w:sz w:val="32"/>
          <w:szCs w:val="32"/>
          <w:highlight w:val="none"/>
          <w:lang w:val="en-US" w:eastAsia="zh-CN"/>
        </w:rPr>
        <w:t>违反国家有关法律法规和规范性文件规定、</w:t>
      </w:r>
      <w:r>
        <w:rPr>
          <w:rFonts w:hint="eastAsia" w:ascii="Times New Roman" w:hAnsi="Times New Roman" w:eastAsia="仿宋" w:cs="Times New Roman"/>
          <w:sz w:val="32"/>
          <w:szCs w:val="32"/>
          <w:highlight w:val="none"/>
        </w:rPr>
        <w:t>扰乱</w:t>
      </w:r>
      <w:r>
        <w:rPr>
          <w:rFonts w:hint="eastAsia" w:ascii="Times New Roman" w:hAnsi="Times New Roman" w:eastAsia="仿宋" w:cs="Times New Roman"/>
          <w:sz w:val="32"/>
          <w:szCs w:val="32"/>
          <w:highlight w:val="none"/>
          <w:lang w:val="en-US" w:eastAsia="zh-CN"/>
        </w:rPr>
        <w:t>零售</w:t>
      </w:r>
      <w:r>
        <w:rPr>
          <w:rFonts w:hint="eastAsia" w:ascii="Times New Roman" w:hAnsi="Times New Roman" w:eastAsia="仿宋" w:cs="Times New Roman"/>
          <w:sz w:val="32"/>
          <w:szCs w:val="32"/>
          <w:highlight w:val="none"/>
        </w:rPr>
        <w:t>市场秩序</w:t>
      </w:r>
      <w:r>
        <w:rPr>
          <w:rFonts w:hint="eastAsia" w:ascii="Times New Roman" w:hAnsi="Times New Roman" w:eastAsia="仿宋" w:cs="Times New Roman"/>
          <w:sz w:val="32"/>
          <w:szCs w:val="32"/>
          <w:highlight w:val="none"/>
          <w:lang w:val="en-US" w:eastAsia="zh-CN"/>
        </w:rPr>
        <w:t>的</w:t>
      </w:r>
      <w:r>
        <w:rPr>
          <w:rFonts w:hint="eastAsia"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按照相关规定依法依规处理。</w:t>
      </w:r>
      <w:bookmarkStart w:id="124" w:name="_GoBack"/>
      <w:bookmarkEnd w:id="124"/>
    </w:p>
    <w:p>
      <w:pPr>
        <w:pStyle w:val="3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560" w:lineRule="exact"/>
        <w:ind w:leftChars="0" w:firstLine="640" w:firstLineChars="0"/>
        <w:jc w:val="left"/>
        <w:textAlignment w:val="auto"/>
        <w:rPr>
          <w:rFonts w:hint="default" w:ascii="黑体" w:hAnsi="黑体" w:eastAsia="黑体" w:cs="黑体"/>
          <w:b w:val="0"/>
          <w:bCs w:val="0"/>
          <w:color w:val="auto"/>
          <w:sz w:val="32"/>
          <w:szCs w:val="32"/>
          <w:highlight w:val="none"/>
        </w:rPr>
      </w:pPr>
      <w:r>
        <w:rPr>
          <w:rFonts w:ascii="Times New Roman" w:hAnsi="Times New Roman" w:eastAsia="仿宋" w:cs="Times New Roman"/>
          <w:sz w:val="32"/>
          <w:szCs w:val="32"/>
          <w:highlight w:val="none"/>
        </w:rPr>
        <w:t>[自律机制]</w:t>
      </w:r>
      <w:r>
        <w:rPr>
          <w:rFonts w:hint="eastAsia" w:ascii="Times New Roman" w:hAnsi="Times New Roman" w:eastAsia="仿宋" w:cs="Times New Roman"/>
          <w:sz w:val="32"/>
          <w:szCs w:val="32"/>
          <w:highlight w:val="none"/>
          <w:lang w:val="en-US" w:eastAsia="zh-CN"/>
        </w:rPr>
        <w:t>充分发挥</w:t>
      </w:r>
      <w:r>
        <w:rPr>
          <w:rFonts w:hint="default" w:ascii="Times New Roman" w:hAnsi="Times New Roman" w:eastAsia="仿宋" w:cs="Times New Roman"/>
          <w:color w:val="auto"/>
          <w:sz w:val="32"/>
          <w:szCs w:val="32"/>
          <w:highlight w:val="none"/>
        </w:rPr>
        <w:t>广东电力市场管理委员会</w:t>
      </w:r>
      <w:r>
        <w:rPr>
          <w:rFonts w:hint="eastAsia" w:ascii="Times New Roman" w:hAnsi="Times New Roman" w:eastAsia="仿宋" w:cs="Times New Roman"/>
          <w:sz w:val="32"/>
          <w:szCs w:val="32"/>
          <w:highlight w:val="none"/>
          <w:lang w:val="en-US" w:eastAsia="zh-CN"/>
        </w:rPr>
        <w:t>作用，建立健全零售市场自律工作机制。</w:t>
      </w:r>
      <w:r>
        <w:rPr>
          <w:rFonts w:ascii="Times New Roman" w:hAnsi="Times New Roman" w:eastAsia="仿宋" w:cs="Times New Roman"/>
          <w:sz w:val="32"/>
          <w:szCs w:val="32"/>
          <w:highlight w:val="none"/>
        </w:rPr>
        <w:t>零售</w:t>
      </w:r>
      <w:r>
        <w:rPr>
          <w:rFonts w:hint="eastAsia" w:ascii="Times New Roman" w:hAnsi="Times New Roman" w:eastAsia="仿宋" w:cs="Times New Roman"/>
          <w:sz w:val="32"/>
          <w:szCs w:val="32"/>
          <w:highlight w:val="none"/>
        </w:rPr>
        <w:t>市场</w:t>
      </w:r>
      <w:r>
        <w:rPr>
          <w:rFonts w:hint="eastAsia" w:ascii="Times New Roman" w:hAnsi="Times New Roman" w:eastAsia="仿宋" w:cs="Times New Roman"/>
          <w:sz w:val="32"/>
          <w:szCs w:val="32"/>
          <w:highlight w:val="none"/>
          <w:lang w:val="en-US" w:eastAsia="zh-CN"/>
        </w:rPr>
        <w:t>交易</w:t>
      </w:r>
      <w:r>
        <w:rPr>
          <w:rFonts w:ascii="Times New Roman" w:hAnsi="Times New Roman" w:eastAsia="仿宋" w:cs="Times New Roman"/>
          <w:sz w:val="32"/>
          <w:szCs w:val="32"/>
          <w:highlight w:val="none"/>
        </w:rPr>
        <w:t>主体</w:t>
      </w:r>
      <w:r>
        <w:rPr>
          <w:rFonts w:hint="eastAsia" w:ascii="Times New Roman" w:hAnsi="Times New Roman" w:eastAsia="仿宋" w:cs="Times New Roman"/>
          <w:sz w:val="32"/>
          <w:szCs w:val="32"/>
          <w:highlight w:val="none"/>
          <w:lang w:val="en-US" w:eastAsia="zh-CN"/>
        </w:rPr>
        <w:t>存在</w:t>
      </w:r>
      <w:r>
        <w:rPr>
          <w:rFonts w:hint="eastAsia" w:ascii="Times New Roman" w:hAnsi="Times New Roman" w:eastAsia="仿宋" w:cs="Times New Roman"/>
          <w:sz w:val="32"/>
          <w:szCs w:val="32"/>
          <w:highlight w:val="none"/>
        </w:rPr>
        <w:t>违反</w:t>
      </w:r>
      <w:r>
        <w:rPr>
          <w:rFonts w:hint="eastAsia" w:ascii="Times New Roman" w:hAnsi="Times New Roman" w:eastAsia="仿宋" w:cs="Times New Roman"/>
          <w:sz w:val="32"/>
          <w:szCs w:val="32"/>
          <w:highlight w:val="none"/>
          <w:lang w:val="en-US" w:eastAsia="zh-CN"/>
        </w:rPr>
        <w:t>本办法及零售市场工作制度、</w:t>
      </w:r>
      <w:r>
        <w:rPr>
          <w:rFonts w:ascii="Times New Roman" w:hAnsi="Times New Roman" w:eastAsia="仿宋" w:cs="Times New Roman"/>
          <w:sz w:val="32"/>
          <w:szCs w:val="32"/>
          <w:highlight w:val="none"/>
        </w:rPr>
        <w:t>扰乱</w:t>
      </w:r>
      <w:r>
        <w:rPr>
          <w:rFonts w:hint="eastAsia" w:ascii="Times New Roman" w:hAnsi="Times New Roman" w:eastAsia="仿宋" w:cs="Times New Roman"/>
          <w:sz w:val="32"/>
          <w:szCs w:val="32"/>
          <w:highlight w:val="none"/>
          <w:lang w:val="en-US" w:eastAsia="zh-CN"/>
        </w:rPr>
        <w:t>零售</w:t>
      </w:r>
      <w:r>
        <w:rPr>
          <w:rFonts w:ascii="Times New Roman" w:hAnsi="Times New Roman" w:eastAsia="仿宋" w:cs="Times New Roman"/>
          <w:sz w:val="32"/>
          <w:szCs w:val="32"/>
          <w:highlight w:val="none"/>
        </w:rPr>
        <w:t>市场秩序</w:t>
      </w:r>
      <w:r>
        <w:rPr>
          <w:rFonts w:hint="eastAsia" w:ascii="Times New Roman" w:hAnsi="Times New Roman" w:eastAsia="仿宋" w:cs="Times New Roman"/>
          <w:sz w:val="32"/>
          <w:szCs w:val="32"/>
          <w:highlight w:val="none"/>
          <w:lang w:val="en-US" w:eastAsia="zh-CN"/>
        </w:rPr>
        <w:t>的不良行为，</w:t>
      </w:r>
      <w:r>
        <w:rPr>
          <w:rFonts w:hint="eastAsia" w:ascii="Times New Roman" w:hAnsi="Times New Roman" w:eastAsia="仿宋" w:cs="Times New Roman"/>
          <w:sz w:val="32"/>
          <w:szCs w:val="32"/>
          <w:highlight w:val="none"/>
        </w:rPr>
        <w:t>按相关自律管理制度处理。</w:t>
      </w:r>
    </w:p>
    <w:p>
      <w:pPr>
        <w:pStyle w:val="3"/>
        <w:keepNext w:val="0"/>
        <w:keepLines w:val="0"/>
        <w:pageBreakBefore w:val="0"/>
        <w:numPr>
          <w:ilvl w:val="0"/>
          <w:numId w:val="3"/>
        </w:numPr>
        <w:kinsoku/>
        <w:wordWrap/>
        <w:overflowPunct/>
        <w:topLinePunct w:val="0"/>
        <w:autoSpaceDE/>
        <w:autoSpaceDN/>
        <w:bidi w:val="0"/>
        <w:adjustRightInd/>
        <w:snapToGrid/>
        <w:spacing w:before="157" w:beforeLines="50" w:beforeAutospacing="0" w:after="157" w:afterLines="50" w:afterAutospacing="0" w:line="560" w:lineRule="exact"/>
        <w:ind w:firstLineChars="0"/>
        <w:jc w:val="center"/>
        <w:textAlignment w:val="auto"/>
        <w:rPr>
          <w:rFonts w:hint="eastAsia" w:ascii="黑体" w:hAnsi="黑体" w:eastAsia="黑体" w:cs="黑体"/>
          <w:b w:val="0"/>
          <w:bCs w:val="0"/>
          <w:color w:val="auto"/>
          <w:sz w:val="32"/>
          <w:szCs w:val="32"/>
          <w:highlight w:val="none"/>
        </w:rPr>
      </w:pPr>
      <w:bookmarkStart w:id="123" w:name="_Toc20810"/>
      <w:r>
        <w:rPr>
          <w:rFonts w:hint="eastAsia" w:ascii="黑体" w:hAnsi="黑体" w:eastAsia="黑体" w:cs="黑体"/>
          <w:b w:val="0"/>
          <w:bCs w:val="0"/>
          <w:color w:val="auto"/>
          <w:sz w:val="32"/>
          <w:szCs w:val="32"/>
          <w:highlight w:val="none"/>
        </w:rPr>
        <w:t>附则</w:t>
      </w:r>
      <w:bookmarkEnd w:id="123"/>
    </w:p>
    <w:p>
      <w:pPr>
        <w:pageBreakBefore w:val="0"/>
        <w:numPr>
          <w:ilvl w:val="0"/>
          <w:numId w:val="4"/>
        </w:numPr>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本办法未尽事宜</w:t>
      </w:r>
      <w:r>
        <w:rPr>
          <w:rFonts w:hint="default" w:cs="Times New Roman"/>
          <w:color w:val="auto"/>
          <w:sz w:val="32"/>
          <w:szCs w:val="32"/>
          <w:highlight w:val="none"/>
          <w:lang w:val="en-US" w:eastAsia="zh-CN"/>
        </w:rPr>
        <w:t>按照国家有关法律法规和规范性文件规定处理。</w:t>
      </w:r>
      <w:r>
        <w:rPr>
          <w:rFonts w:eastAsia="仿宋" w:cs="Times New Roman"/>
          <w:sz w:val="32"/>
          <w:szCs w:val="32"/>
          <w:highlight w:val="none"/>
        </w:rPr>
        <w:t>本</w:t>
      </w:r>
      <w:r>
        <w:rPr>
          <w:rFonts w:hint="default" w:eastAsia="仿宋" w:cs="Times New Roman"/>
          <w:sz w:val="32"/>
          <w:szCs w:val="32"/>
          <w:highlight w:val="none"/>
          <w:lang w:val="en-US" w:eastAsia="zh-CN"/>
        </w:rPr>
        <w:t>办法</w:t>
      </w:r>
      <w:r>
        <w:rPr>
          <w:rFonts w:eastAsia="仿宋" w:cs="Times New Roman"/>
          <w:sz w:val="32"/>
          <w:szCs w:val="32"/>
          <w:highlight w:val="none"/>
        </w:rPr>
        <w:t>与国家最新的政策、文件规定不符的，从其规定</w:t>
      </w:r>
      <w:r>
        <w:rPr>
          <w:rFonts w:eastAsia="仿宋_GB2312"/>
          <w:sz w:val="32"/>
          <w:szCs w:val="32"/>
          <w:highlight w:val="none"/>
        </w:rPr>
        <w:t>。</w:t>
      </w:r>
    </w:p>
    <w:p>
      <w:pPr>
        <w:pageBreakBefore w:val="0"/>
        <w:numPr>
          <w:ilvl w:val="0"/>
          <w:numId w:val="4"/>
        </w:numPr>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本办法由</w:t>
      </w:r>
      <w:r>
        <w:rPr>
          <w:rFonts w:hint="eastAsia" w:cs="Times New Roman"/>
          <w:color w:val="auto"/>
          <w:sz w:val="32"/>
          <w:szCs w:val="32"/>
          <w:highlight w:val="none"/>
          <w:lang w:val="en-US" w:eastAsia="zh-CN"/>
        </w:rPr>
        <w:t>广东</w:t>
      </w:r>
      <w:r>
        <w:rPr>
          <w:rFonts w:hint="eastAsia" w:ascii="Times New Roman" w:hAnsi="Times New Roman" w:eastAsia="仿宋" w:cs="Times New Roman"/>
          <w:color w:val="auto"/>
          <w:sz w:val="32"/>
          <w:szCs w:val="32"/>
          <w:highlight w:val="none"/>
        </w:rPr>
        <w:t>省能源局</w:t>
      </w:r>
      <w:r>
        <w:rPr>
          <w:rFonts w:hint="eastAsia" w:cs="Times New Roman"/>
          <w:color w:val="auto"/>
          <w:sz w:val="32"/>
          <w:szCs w:val="32"/>
          <w:highlight w:val="none"/>
          <w:lang w:val="en-US" w:eastAsia="zh-CN"/>
        </w:rPr>
        <w:t>会同南方能源监管局</w:t>
      </w:r>
      <w:r>
        <w:rPr>
          <w:rFonts w:hint="eastAsia" w:ascii="Times New Roman" w:hAnsi="Times New Roman" w:eastAsia="仿宋" w:cs="Times New Roman"/>
          <w:color w:val="auto"/>
          <w:sz w:val="32"/>
          <w:szCs w:val="32"/>
          <w:highlight w:val="none"/>
        </w:rPr>
        <w:t>负责解释。</w:t>
      </w:r>
    </w:p>
    <w:p>
      <w:pPr>
        <w:pageBreakBefore w:val="0"/>
        <w:numPr>
          <w:ilvl w:val="0"/>
          <w:numId w:val="4"/>
        </w:numPr>
        <w:kinsoku/>
        <w:wordWrap/>
        <w:overflowPunct/>
        <w:topLinePunct w:val="0"/>
        <w:autoSpaceDE/>
        <w:autoSpaceDN/>
        <w:bidi w:val="0"/>
        <w:adjustRightInd/>
        <w:snapToGrid/>
        <w:spacing w:line="56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本办法自发布之日起施行。</w:t>
      </w:r>
    </w:p>
    <w:p>
      <w:pPr>
        <w:pageBreakBefore w:val="0"/>
        <w:numPr>
          <w:ilvl w:val="-1"/>
          <w:numId w:val="0"/>
        </w:numPr>
        <w:kinsoku/>
        <w:wordWrap/>
        <w:overflowPunct/>
        <w:topLinePunct w:val="0"/>
        <w:autoSpaceDE/>
        <w:autoSpaceDN/>
        <w:bidi w:val="0"/>
        <w:adjustRightInd/>
        <w:snapToGrid/>
        <w:spacing w:line="240" w:lineRule="auto"/>
        <w:ind w:firstLine="0"/>
        <w:textAlignment w:val="auto"/>
        <w:rPr>
          <w:rFonts w:ascii="Times New Roman" w:hAnsi="Times New Roman" w:cs="Times New Roman"/>
          <w:color w:val="auto"/>
          <w:szCs w:val="32"/>
          <w:highlight w:val="none"/>
        </w:rPr>
      </w:pPr>
    </w:p>
    <w:sectPr>
      <w:headerReference r:id="rId5" w:type="default"/>
      <w:footerReference r:id="rId6"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0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0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eastAsia="仿宋"/>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M6He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V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">
              <v:fill on="f" focussize="0,0"/>
              <v:stroke on="f"/>
              <v:imagedata o:title=""/>
              <o:lock v:ext="edit" aspectratio="f"/>
              <v:textbox inset="0mm,0mm,0mm,0mm" style="mso-fit-shape-to-text:t;">
                <w:txbxContent>
                  <w:p>
                    <w:pPr>
                      <w:pStyle w:val="14"/>
                      <w:rPr>
                        <w:rFonts w:hint="eastAsia" w:eastAsia="仿宋"/>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1"/>
    <w:multiLevelType w:val="multilevel"/>
    <w:tmpl w:val="00000001"/>
    <w:lvl w:ilvl="0" w:tentative="0">
      <w:start w:val="1"/>
      <w:numFmt w:val="chineseCountingThousand"/>
      <w:suff w:val="space"/>
      <w:lvlText w:val="第%1节"/>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suff w:val="space"/>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000003"/>
    <w:multiLevelType w:val="multilevel"/>
    <w:tmpl w:val="00000003"/>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000004"/>
    <w:multiLevelType w:val="multilevel"/>
    <w:tmpl w:val="00000004"/>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0000005"/>
    <w:multiLevelType w:val="multilevel"/>
    <w:tmpl w:val="00000005"/>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00000006"/>
    <w:multiLevelType w:val="multilevel"/>
    <w:tmpl w:val="00000006"/>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00000007"/>
    <w:multiLevelType w:val="multilevel"/>
    <w:tmpl w:val="00000007"/>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00000008"/>
    <w:multiLevelType w:val="multilevel"/>
    <w:tmpl w:val="00000008"/>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00000009"/>
    <w:multiLevelType w:val="multilevel"/>
    <w:tmpl w:val="00000009"/>
    <w:lvl w:ilvl="0" w:tentative="0">
      <w:start w:val="1"/>
      <w:numFmt w:val="chineseCountingThousand"/>
      <w:suff w:val="space"/>
      <w:lvlText w:val="第%1章"/>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A"/>
    <w:multiLevelType w:val="multilevel"/>
    <w:tmpl w:val="0000000A"/>
    <w:lvl w:ilvl="0" w:tentative="0">
      <w:start w:val="1"/>
      <w:numFmt w:val="chineseCountingThousand"/>
      <w:suff w:val="space"/>
      <w:lvlText w:val="第%1节"/>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multilevel"/>
    <w:tmpl w:val="0000000B"/>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0000000C"/>
    <w:multiLevelType w:val="multilevel"/>
    <w:tmpl w:val="0000000C"/>
    <w:lvl w:ilvl="0" w:tentative="0">
      <w:start w:val="1"/>
      <w:numFmt w:val="chineseCountingThousand"/>
      <w:suff w:val="space"/>
      <w:lvlText w:val="第%1条"/>
      <w:lvlJc w:val="left"/>
      <w:pPr>
        <w:ind w:left="0" w:firstLine="0"/>
      </w:pPr>
      <w:rPr>
        <w:rFonts w:hint="eastAsia" w:eastAsia="楷体_GB2312"/>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D"/>
    <w:multiLevelType w:val="multilevel"/>
    <w:tmpl w:val="0000000D"/>
    <w:lvl w:ilvl="0" w:tentative="0">
      <w:start w:val="1"/>
      <w:numFmt w:val="chineseCountingThousand"/>
      <w:suff w:val="space"/>
      <w:lvlText w:val="%1、"/>
      <w:lvlJc w:val="left"/>
      <w:pPr>
        <w:ind w:left="0" w:firstLine="0"/>
      </w:pPr>
      <w:rPr>
        <w:rFonts w:hint="eastAsia"/>
      </w:rPr>
    </w:lvl>
    <w:lvl w:ilvl="1" w:tentative="0">
      <w:start w:val="1"/>
      <w:numFmt w:val="chineseCountingThousand"/>
      <w:suff w:val="space"/>
      <w:lvlText w:val="第%2条"/>
      <w:lvlJc w:val="left"/>
      <w:pPr>
        <w:ind w:left="0" w:firstLine="0"/>
      </w:pPr>
      <w:rPr>
        <w:rFonts w:hint="eastAsia"/>
      </w:rPr>
    </w:lvl>
    <w:lvl w:ilvl="2" w:tentative="0">
      <w:start w:val="1"/>
      <w:numFmt w:val="decimal"/>
      <w:pStyle w:val="18"/>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4">
    <w:nsid w:val="0000000E"/>
    <w:multiLevelType w:val="multilevel"/>
    <w:tmpl w:val="0000000E"/>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0000000F"/>
    <w:multiLevelType w:val="multilevel"/>
    <w:tmpl w:val="0000000F"/>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6">
    <w:nsid w:val="00000010"/>
    <w:multiLevelType w:val="multilevel"/>
    <w:tmpl w:val="00000010"/>
    <w:lvl w:ilvl="0" w:tentative="0">
      <w:start w:val="1"/>
      <w:numFmt w:val="chineseCountingThousand"/>
      <w:pStyle w:val="50"/>
      <w:lvlText w:val="第%1条"/>
      <w:lvlJc w:val="left"/>
      <w:pPr>
        <w:tabs>
          <w:tab w:val="left" w:pos="1429"/>
        </w:tabs>
        <w:ind w:left="85" w:firstLine="624"/>
      </w:pPr>
      <w:rPr>
        <w:rFonts w:hint="eastAsia" w:ascii="仿宋_GB2312" w:eastAsia="仿宋_GB2312"/>
        <w:b/>
        <w:i w:val="0"/>
        <w:color w:val="333333"/>
        <w:sz w:val="32"/>
        <w:szCs w:val="32"/>
        <w:lang w:val="en-US"/>
      </w:rPr>
    </w:lvl>
    <w:lvl w:ilvl="1" w:tentative="0">
      <w:start w:val="1"/>
      <w:numFmt w:val="japaneseCounting"/>
      <w:lvlText w:val="（%2）"/>
      <w:lvlJc w:val="left"/>
      <w:pPr>
        <w:tabs>
          <w:tab w:val="left" w:pos="64"/>
        </w:tabs>
        <w:ind w:left="64" w:hanging="720"/>
      </w:pPr>
      <w:rPr>
        <w:rFonts w:hint="eastAsia"/>
      </w:rPr>
    </w:lvl>
    <w:lvl w:ilvl="2" w:tentative="0">
      <w:start w:val="1"/>
      <w:numFmt w:val="lowerRoman"/>
      <w:lvlText w:val="%3."/>
      <w:lvlJc w:val="right"/>
      <w:pPr>
        <w:tabs>
          <w:tab w:val="left" w:pos="184"/>
        </w:tabs>
        <w:ind w:left="184" w:hanging="420"/>
      </w:pPr>
    </w:lvl>
    <w:lvl w:ilvl="3" w:tentative="0">
      <w:start w:val="1"/>
      <w:numFmt w:val="decimal"/>
      <w:lvlText w:val="%4."/>
      <w:lvlJc w:val="left"/>
      <w:pPr>
        <w:tabs>
          <w:tab w:val="left" w:pos="604"/>
        </w:tabs>
        <w:ind w:left="604" w:hanging="420"/>
      </w:pPr>
    </w:lvl>
    <w:lvl w:ilvl="4" w:tentative="0">
      <w:start w:val="1"/>
      <w:numFmt w:val="lowerLetter"/>
      <w:lvlText w:val="%5)"/>
      <w:lvlJc w:val="left"/>
      <w:pPr>
        <w:tabs>
          <w:tab w:val="left" w:pos="1024"/>
        </w:tabs>
        <w:ind w:left="1024" w:hanging="420"/>
      </w:pPr>
    </w:lvl>
    <w:lvl w:ilvl="5" w:tentative="0">
      <w:start w:val="1"/>
      <w:numFmt w:val="lowerRoman"/>
      <w:lvlText w:val="%6."/>
      <w:lvlJc w:val="right"/>
      <w:pPr>
        <w:tabs>
          <w:tab w:val="left" w:pos="1444"/>
        </w:tabs>
        <w:ind w:left="1444" w:hanging="420"/>
      </w:pPr>
    </w:lvl>
    <w:lvl w:ilvl="6" w:tentative="0">
      <w:start w:val="1"/>
      <w:numFmt w:val="decimal"/>
      <w:lvlText w:val="%7."/>
      <w:lvlJc w:val="left"/>
      <w:pPr>
        <w:tabs>
          <w:tab w:val="left" w:pos="1864"/>
        </w:tabs>
        <w:ind w:left="1864" w:hanging="420"/>
      </w:pPr>
    </w:lvl>
    <w:lvl w:ilvl="7" w:tentative="0">
      <w:start w:val="1"/>
      <w:numFmt w:val="lowerLetter"/>
      <w:lvlText w:val="%8)"/>
      <w:lvlJc w:val="left"/>
      <w:pPr>
        <w:tabs>
          <w:tab w:val="left" w:pos="2284"/>
        </w:tabs>
        <w:ind w:left="2284" w:hanging="420"/>
      </w:pPr>
    </w:lvl>
    <w:lvl w:ilvl="8" w:tentative="0">
      <w:start w:val="1"/>
      <w:numFmt w:val="lowerRoman"/>
      <w:lvlText w:val="%9."/>
      <w:lvlJc w:val="right"/>
      <w:pPr>
        <w:tabs>
          <w:tab w:val="left" w:pos="2704"/>
        </w:tabs>
        <w:ind w:left="2704" w:hanging="420"/>
      </w:pPr>
    </w:lvl>
  </w:abstractNum>
  <w:abstractNum w:abstractNumId="17">
    <w:nsid w:val="00000011"/>
    <w:multiLevelType w:val="multilevel"/>
    <w:tmpl w:val="00000011"/>
    <w:lvl w:ilvl="0" w:tentative="0">
      <w:start w:val="1"/>
      <w:numFmt w:val="chineseCountingThousand"/>
      <w:suff w:val="space"/>
      <w:lvlText w:val="第%1节"/>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2"/>
    <w:multiLevelType w:val="multilevel"/>
    <w:tmpl w:val="00000012"/>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9">
    <w:nsid w:val="00000013"/>
    <w:multiLevelType w:val="multilevel"/>
    <w:tmpl w:val="00000013"/>
    <w:lvl w:ilvl="0" w:tentative="0">
      <w:start w:val="1"/>
      <w:numFmt w:val="chineseCountingThousand"/>
      <w:suff w:val="space"/>
      <w:lvlText w:val="第%1节"/>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4"/>
    <w:multiLevelType w:val="multilevel"/>
    <w:tmpl w:val="00000014"/>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1">
    <w:nsid w:val="00000015"/>
    <w:multiLevelType w:val="multilevel"/>
    <w:tmpl w:val="00000015"/>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2">
    <w:nsid w:val="00000016"/>
    <w:multiLevelType w:val="multilevel"/>
    <w:tmpl w:val="00000016"/>
    <w:lvl w:ilvl="0" w:tentative="0">
      <w:start w:val="1"/>
      <w:numFmt w:val="chineseCountingThousand"/>
      <w:suff w:val="space"/>
      <w:lvlText w:val="(%1)"/>
      <w:lvlJc w:val="center"/>
      <w:pPr>
        <w:ind w:left="0" w:firstLine="0"/>
      </w:pPr>
      <w:rPr>
        <w:rFonts w:hint="eastAsia"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3"/>
  </w:num>
  <w:num w:numId="2">
    <w:abstractNumId w:val="16"/>
  </w:num>
  <w:num w:numId="3">
    <w:abstractNumId w:val="9"/>
  </w:num>
  <w:num w:numId="4">
    <w:abstractNumId w:val="12"/>
  </w:num>
  <w:num w:numId="5">
    <w:abstractNumId w:val="22"/>
  </w:num>
  <w:num w:numId="6">
    <w:abstractNumId w:val="8"/>
  </w:num>
  <w:num w:numId="7">
    <w:abstractNumId w:val="11"/>
  </w:num>
  <w:num w:numId="8">
    <w:abstractNumId w:val="21"/>
  </w:num>
  <w:num w:numId="9">
    <w:abstractNumId w:val="19"/>
  </w:num>
  <w:num w:numId="10">
    <w:abstractNumId w:val="7"/>
  </w:num>
  <w:num w:numId="11">
    <w:abstractNumId w:val="3"/>
  </w:num>
  <w:num w:numId="12">
    <w:abstractNumId w:val="1"/>
  </w:num>
  <w:num w:numId="13">
    <w:abstractNumId w:val="18"/>
  </w:num>
  <w:num w:numId="14">
    <w:abstractNumId w:val="2"/>
  </w:num>
  <w:num w:numId="15">
    <w:abstractNumId w:val="20"/>
  </w:num>
  <w:num w:numId="16">
    <w:abstractNumId w:val="4"/>
  </w:num>
  <w:num w:numId="17">
    <w:abstractNumId w:val="0"/>
  </w:num>
  <w:num w:numId="18">
    <w:abstractNumId w:val="15"/>
  </w:num>
  <w:num w:numId="19">
    <w:abstractNumId w:val="14"/>
  </w:num>
  <w:num w:numId="20">
    <w:abstractNumId w:val="10"/>
  </w:num>
  <w:num w:numId="21">
    <w:abstractNumId w:val="1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6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F5E49E"/>
    <w:rsid w:val="3FFE2728"/>
    <w:rsid w:val="7DE05CCC"/>
    <w:rsid w:val="7E77A7EA"/>
    <w:rsid w:val="8CFB8489"/>
    <w:rsid w:val="EDFF3433"/>
    <w:rsid w:val="EF97D717"/>
    <w:rsid w:val="F3EF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宋体"/>
      <w:kern w:val="2"/>
      <w:sz w:val="32"/>
      <w:szCs w:val="22"/>
      <w:lang w:val="en-US" w:eastAsia="zh-CN" w:bidi="ar-SA"/>
    </w:rPr>
  </w:style>
  <w:style w:type="paragraph" w:styleId="3">
    <w:name w:val="heading 1"/>
    <w:basedOn w:val="1"/>
    <w:next w:val="1"/>
    <w:link w:val="44"/>
    <w:qFormat/>
    <w:uiPriority w:val="9"/>
    <w:pPr>
      <w:keepNext/>
      <w:keepLines/>
      <w:spacing w:before="100" w:beforeAutospacing="1" w:after="100" w:afterAutospacing="1" w:line="560" w:lineRule="exact"/>
      <w:outlineLvl w:val="0"/>
    </w:pPr>
    <w:rPr>
      <w:b/>
      <w:bCs/>
      <w:kern w:val="44"/>
      <w:szCs w:val="44"/>
    </w:rPr>
  </w:style>
  <w:style w:type="paragraph" w:styleId="4">
    <w:name w:val="heading 2"/>
    <w:basedOn w:val="1"/>
    <w:next w:val="1"/>
    <w:link w:val="23"/>
    <w:qFormat/>
    <w:uiPriority w:val="9"/>
    <w:pPr>
      <w:outlineLvl w:val="1"/>
    </w:pPr>
  </w:style>
  <w:style w:type="paragraph" w:styleId="5">
    <w:name w:val="heading 3"/>
    <w:basedOn w:val="1"/>
    <w:next w:val="1"/>
    <w:link w:val="24"/>
    <w:qFormat/>
    <w:uiPriority w:val="99"/>
    <w:pPr>
      <w:keepNext/>
      <w:keepLines/>
      <w:spacing w:before="260" w:after="260" w:line="415" w:lineRule="auto"/>
      <w:ind w:firstLine="0" w:firstLineChars="0"/>
      <w:outlineLvl w:val="2"/>
    </w:pPr>
    <w:rPr>
      <w:b/>
      <w:bCs/>
      <w:szCs w:val="32"/>
    </w:rPr>
  </w:style>
  <w:style w:type="paragraph" w:styleId="6">
    <w:name w:val="heading 4"/>
    <w:basedOn w:val="1"/>
    <w:next w:val="1"/>
    <w:link w:val="25"/>
    <w:qFormat/>
    <w:uiPriority w:val="99"/>
    <w:pPr>
      <w:keepNext/>
      <w:keepLines/>
      <w:tabs>
        <w:tab w:val="left" w:pos="840"/>
      </w:tabs>
      <w:spacing w:before="120" w:after="120" w:line="360" w:lineRule="auto"/>
      <w:ind w:firstLine="0" w:firstLineChars="0"/>
      <w:outlineLvl w:val="3"/>
    </w:pPr>
    <w:rPr>
      <w:rFonts w:eastAsia="黑体" w:cs="Times New Roman"/>
      <w:bCs/>
      <w:sz w:val="30"/>
      <w:szCs w:val="28"/>
    </w:rPr>
  </w:style>
  <w:style w:type="paragraph" w:styleId="7">
    <w:name w:val="heading 5"/>
    <w:basedOn w:val="1"/>
    <w:next w:val="1"/>
    <w:link w:val="26"/>
    <w:qFormat/>
    <w:uiPriority w:val="99"/>
    <w:pPr>
      <w:keepNext/>
      <w:keepLines/>
      <w:spacing w:before="280" w:after="290" w:line="376" w:lineRule="auto"/>
      <w:ind w:firstLine="0" w:firstLineChars="0"/>
      <w:outlineLvl w:val="4"/>
    </w:pPr>
    <w:rPr>
      <w:rFonts w:cs="Times New Roman"/>
      <w:b/>
      <w:bCs/>
      <w:szCs w:val="28"/>
    </w:rPr>
  </w:style>
  <w:style w:type="paragraph" w:styleId="8">
    <w:name w:val="heading 6"/>
    <w:basedOn w:val="1"/>
    <w:next w:val="1"/>
    <w:link w:val="27"/>
    <w:qFormat/>
    <w:uiPriority w:val="99"/>
    <w:pPr>
      <w:keepNext/>
      <w:keepLines/>
      <w:spacing w:before="240" w:after="64" w:line="316" w:lineRule="auto"/>
      <w:ind w:firstLine="0" w:firstLineChars="0"/>
      <w:outlineLvl w:val="5"/>
    </w:pPr>
    <w:rPr>
      <w:rFonts w:ascii="Arial" w:hAnsi="Arial" w:cs="Times New Roman"/>
      <w:b/>
      <w:bCs/>
      <w:sz w:val="24"/>
      <w:szCs w:val="24"/>
    </w:rPr>
  </w:style>
  <w:style w:type="paragraph" w:styleId="9">
    <w:name w:val="heading 7"/>
    <w:basedOn w:val="1"/>
    <w:next w:val="1"/>
    <w:link w:val="28"/>
    <w:qFormat/>
    <w:uiPriority w:val="99"/>
    <w:pPr>
      <w:keepNext/>
      <w:keepLines/>
      <w:spacing w:before="240" w:after="64" w:line="319" w:lineRule="auto"/>
      <w:ind w:firstLine="0" w:firstLineChars="0"/>
      <w:outlineLvl w:val="6"/>
    </w:pPr>
    <w:rPr>
      <w:rFonts w:cs="Times New Roman"/>
      <w:b/>
      <w:bCs/>
      <w:sz w:val="24"/>
      <w:szCs w:val="24"/>
    </w:rPr>
  </w:style>
  <w:style w:type="paragraph" w:styleId="10">
    <w:name w:val="heading 8"/>
    <w:basedOn w:val="1"/>
    <w:next w:val="1"/>
    <w:link w:val="29"/>
    <w:qFormat/>
    <w:uiPriority w:val="99"/>
    <w:pPr>
      <w:keepNext/>
      <w:keepLines/>
      <w:spacing w:before="240" w:after="64" w:line="319" w:lineRule="auto"/>
      <w:ind w:firstLine="0" w:firstLineChars="0"/>
      <w:outlineLvl w:val="7"/>
    </w:pPr>
    <w:rPr>
      <w:rFonts w:ascii="Arial" w:hAnsi="Arial" w:eastAsia="黑体" w:cs="Times New Roman"/>
      <w:sz w:val="24"/>
      <w:szCs w:val="24"/>
    </w:rPr>
  </w:style>
  <w:style w:type="paragraph" w:styleId="11">
    <w:name w:val="heading 9"/>
    <w:basedOn w:val="1"/>
    <w:next w:val="1"/>
    <w:link w:val="30"/>
    <w:qFormat/>
    <w:uiPriority w:val="99"/>
    <w:pPr>
      <w:keepNext/>
      <w:keepLines/>
      <w:spacing w:before="240" w:after="64" w:line="319" w:lineRule="auto"/>
      <w:ind w:firstLine="0" w:firstLineChars="0"/>
      <w:outlineLvl w:val="8"/>
    </w:pPr>
    <w:rPr>
      <w:rFonts w:ascii="Arial" w:hAnsi="Arial" w:eastAsia="黑体" w:cs="Times New Roman"/>
      <w:szCs w:val="21"/>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Normal Indent"/>
    <w:basedOn w:val="1"/>
    <w:link w:val="31"/>
    <w:qFormat/>
    <w:uiPriority w:val="0"/>
    <w:pPr>
      <w:wordWrap w:val="0"/>
      <w:ind w:firstLine="420"/>
    </w:pPr>
    <w:rPr>
      <w:rFonts w:ascii="宋体" w:hAnsi="宋体" w:eastAsia="宋体"/>
      <w:sz w:val="24"/>
      <w:szCs w:val="21"/>
    </w:rPr>
  </w:style>
  <w:style w:type="paragraph" w:styleId="12">
    <w:name w:val="annotation text"/>
    <w:basedOn w:val="1"/>
    <w:qFormat/>
    <w:uiPriority w:val="99"/>
    <w:pPr>
      <w:jc w:val="left"/>
    </w:pPr>
  </w:style>
  <w:style w:type="paragraph" w:styleId="13">
    <w:name w:val="Body Text"/>
    <w:basedOn w:val="1"/>
    <w:link w:val="32"/>
    <w:qFormat/>
    <w:uiPriority w:val="99"/>
    <w:pPr>
      <w:spacing w:after="120"/>
    </w:p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5"/>
    <w:next w:val="1"/>
    <w:link w:val="45"/>
    <w:qFormat/>
    <w:uiPriority w:val="10"/>
    <w:pPr>
      <w:numPr>
        <w:ilvl w:val="2"/>
        <w:numId w:val="1"/>
      </w:numPr>
      <w:spacing w:before="100" w:beforeAutospacing="1" w:after="100" w:afterAutospacing="1" w:line="560" w:lineRule="exact"/>
    </w:pPr>
    <w:rPr>
      <w:b w:val="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character" w:customStyle="1" w:styleId="23">
    <w:name w:val="标题 2 字符"/>
    <w:basedOn w:val="21"/>
    <w:link w:val="4"/>
    <w:qFormat/>
    <w:uiPriority w:val="9"/>
    <w:rPr>
      <w:rFonts w:eastAsia="仿宋" w:cs="宋体"/>
      <w:kern w:val="2"/>
      <w:sz w:val="32"/>
      <w:szCs w:val="22"/>
    </w:rPr>
  </w:style>
  <w:style w:type="character" w:customStyle="1" w:styleId="24">
    <w:name w:val="标题 3 字符"/>
    <w:basedOn w:val="21"/>
    <w:link w:val="5"/>
    <w:qFormat/>
    <w:uiPriority w:val="99"/>
    <w:rPr>
      <w:rFonts w:ascii="Times New Roman" w:hAnsi="Times New Roman" w:eastAsia="仿宋"/>
      <w:b/>
      <w:bCs/>
      <w:sz w:val="32"/>
      <w:szCs w:val="32"/>
    </w:rPr>
  </w:style>
  <w:style w:type="character" w:customStyle="1" w:styleId="25">
    <w:name w:val="标题 4 字符"/>
    <w:basedOn w:val="21"/>
    <w:link w:val="6"/>
    <w:qFormat/>
    <w:uiPriority w:val="99"/>
    <w:rPr>
      <w:rFonts w:ascii="Times New Roman" w:hAnsi="Times New Roman" w:eastAsia="黑体" w:cs="Times New Roman"/>
      <w:bCs/>
      <w:sz w:val="30"/>
      <w:szCs w:val="28"/>
    </w:rPr>
  </w:style>
  <w:style w:type="character" w:customStyle="1" w:styleId="26">
    <w:name w:val="标题 5 字符"/>
    <w:basedOn w:val="21"/>
    <w:link w:val="7"/>
    <w:qFormat/>
    <w:uiPriority w:val="99"/>
    <w:rPr>
      <w:rFonts w:ascii="Times New Roman" w:hAnsi="Times New Roman" w:eastAsia="仿宋" w:cs="Times New Roman"/>
      <w:b/>
      <w:bCs/>
      <w:sz w:val="32"/>
      <w:szCs w:val="28"/>
    </w:rPr>
  </w:style>
  <w:style w:type="character" w:customStyle="1" w:styleId="27">
    <w:name w:val="标题 6 字符"/>
    <w:basedOn w:val="21"/>
    <w:link w:val="8"/>
    <w:qFormat/>
    <w:uiPriority w:val="99"/>
    <w:rPr>
      <w:rFonts w:ascii="Arial" w:hAnsi="Arial" w:eastAsia="仿宋" w:cs="Times New Roman"/>
      <w:b/>
      <w:bCs/>
      <w:sz w:val="24"/>
      <w:szCs w:val="24"/>
    </w:rPr>
  </w:style>
  <w:style w:type="character" w:customStyle="1" w:styleId="28">
    <w:name w:val="标题 7 字符"/>
    <w:basedOn w:val="21"/>
    <w:link w:val="9"/>
    <w:qFormat/>
    <w:uiPriority w:val="99"/>
    <w:rPr>
      <w:rFonts w:ascii="Times New Roman" w:hAnsi="Times New Roman" w:eastAsia="仿宋" w:cs="Times New Roman"/>
      <w:b/>
      <w:bCs/>
      <w:sz w:val="24"/>
      <w:szCs w:val="24"/>
    </w:rPr>
  </w:style>
  <w:style w:type="character" w:customStyle="1" w:styleId="29">
    <w:name w:val="标题 8 字符"/>
    <w:basedOn w:val="21"/>
    <w:link w:val="10"/>
    <w:qFormat/>
    <w:uiPriority w:val="99"/>
    <w:rPr>
      <w:rFonts w:ascii="Arial" w:hAnsi="Arial" w:eastAsia="黑体" w:cs="Times New Roman"/>
      <w:sz w:val="24"/>
      <w:szCs w:val="24"/>
    </w:rPr>
  </w:style>
  <w:style w:type="character" w:customStyle="1" w:styleId="30">
    <w:name w:val="标题 9 字符"/>
    <w:basedOn w:val="21"/>
    <w:link w:val="11"/>
    <w:qFormat/>
    <w:uiPriority w:val="99"/>
    <w:rPr>
      <w:rFonts w:ascii="Arial" w:hAnsi="Arial" w:eastAsia="黑体" w:cs="Times New Roman"/>
      <w:sz w:val="32"/>
      <w:szCs w:val="21"/>
    </w:rPr>
  </w:style>
  <w:style w:type="character" w:customStyle="1" w:styleId="31">
    <w:name w:val="正文缩进 字符"/>
    <w:basedOn w:val="21"/>
    <w:link w:val="2"/>
    <w:qFormat/>
    <w:uiPriority w:val="0"/>
    <w:rPr>
      <w:rFonts w:ascii="宋体" w:hAnsi="宋体" w:eastAsia="宋体"/>
      <w:sz w:val="24"/>
      <w:szCs w:val="21"/>
    </w:rPr>
  </w:style>
  <w:style w:type="character" w:customStyle="1" w:styleId="32">
    <w:name w:val="正文文本 字符"/>
    <w:basedOn w:val="21"/>
    <w:link w:val="13"/>
    <w:qFormat/>
    <w:uiPriority w:val="99"/>
    <w:rPr>
      <w:rFonts w:ascii="Times New Roman" w:hAnsi="Times New Roman" w:eastAsia="仿宋"/>
      <w:sz w:val="32"/>
    </w:rPr>
  </w:style>
  <w:style w:type="character" w:customStyle="1" w:styleId="33">
    <w:name w:val="正文_24 Char"/>
    <w:link w:val="34"/>
    <w:qFormat/>
    <w:uiPriority w:val="0"/>
    <w:rPr>
      <w:rFonts w:ascii="宋体" w:hAnsi="宋体" w:eastAsia="仿宋"/>
      <w:sz w:val="32"/>
      <w:szCs w:val="24"/>
      <w:lang w:val="zh-CN"/>
    </w:rPr>
  </w:style>
  <w:style w:type="paragraph" w:customStyle="1" w:styleId="34">
    <w:name w:val="正文_24"/>
    <w:basedOn w:val="1"/>
    <w:link w:val="33"/>
    <w:qFormat/>
    <w:uiPriority w:val="0"/>
    <w:rPr>
      <w:rFonts w:ascii="宋体" w:hAnsi="宋体"/>
      <w:szCs w:val="24"/>
      <w:lang w:val="zh-CN"/>
    </w:rPr>
  </w:style>
  <w:style w:type="paragraph" w:customStyle="1" w:styleId="35">
    <w:name w:val="列出段落1"/>
    <w:basedOn w:val="1"/>
    <w:qFormat/>
    <w:uiPriority w:val="34"/>
    <w:pPr>
      <w:ind w:firstLine="420"/>
    </w:pPr>
  </w:style>
  <w:style w:type="paragraph" w:customStyle="1" w:styleId="36">
    <w:name w:val="第一条"/>
    <w:basedOn w:val="1"/>
    <w:next w:val="2"/>
    <w:qFormat/>
    <w:uiPriority w:val="99"/>
    <w:pPr>
      <w:spacing w:line="360" w:lineRule="auto"/>
      <w:ind w:firstLine="0" w:firstLineChars="0"/>
      <w:jc w:val="center"/>
    </w:pPr>
    <w:rPr>
      <w:rFonts w:hAnsi="宋体" w:eastAsia="宋体" w:cs="Times New Roman"/>
      <w:sz w:val="24"/>
      <w:szCs w:val="24"/>
    </w:rPr>
  </w:style>
  <w:style w:type="character" w:customStyle="1" w:styleId="37">
    <w:name w:val="1-正文1 Char"/>
    <w:link w:val="38"/>
    <w:qFormat/>
    <w:uiPriority w:val="0"/>
    <w:rPr>
      <w:rFonts w:ascii="等线" w:hAnsi="等线" w:eastAsia="等线" w:cs="宋体"/>
      <w:kern w:val="2"/>
      <w:sz w:val="28"/>
      <w:szCs w:val="22"/>
    </w:rPr>
  </w:style>
  <w:style w:type="paragraph" w:customStyle="1" w:styleId="38">
    <w:name w:val="1-正文1"/>
    <w:basedOn w:val="1"/>
    <w:link w:val="37"/>
    <w:qFormat/>
    <w:uiPriority w:val="0"/>
    <w:pPr>
      <w:spacing w:line="360" w:lineRule="auto"/>
    </w:pPr>
    <w:rPr>
      <w:rFonts w:ascii="等线" w:hAnsi="等线" w:eastAsia="等线"/>
      <w:sz w:val="28"/>
    </w:rPr>
  </w:style>
  <w:style w:type="character" w:customStyle="1" w:styleId="39">
    <w:name w:val="A6-正文（空2格） Char"/>
    <w:link w:val="40"/>
    <w:qFormat/>
    <w:uiPriority w:val="0"/>
    <w:rPr>
      <w:rFonts w:ascii="宋体" w:hAnsi="宋体" w:eastAsia="宋体"/>
      <w:bCs/>
      <w:color w:val="000000"/>
      <w:sz w:val="32"/>
      <w:szCs w:val="32"/>
    </w:rPr>
  </w:style>
  <w:style w:type="paragraph" w:customStyle="1" w:styleId="40">
    <w:name w:val="A6-正文（空2格）"/>
    <w:basedOn w:val="1"/>
    <w:link w:val="39"/>
    <w:qFormat/>
    <w:uiPriority w:val="0"/>
    <w:pPr>
      <w:spacing w:line="600" w:lineRule="exact"/>
    </w:pPr>
    <w:rPr>
      <w:rFonts w:ascii="宋体" w:hAnsi="宋体" w:eastAsia="宋体"/>
      <w:bCs/>
      <w:color w:val="000000"/>
      <w:szCs w:val="32"/>
    </w:rPr>
  </w:style>
  <w:style w:type="paragraph" w:customStyle="1" w:styleId="41">
    <w:name w:val="无间隔11"/>
    <w:qFormat/>
    <w:uiPriority w:val="1"/>
    <w:rPr>
      <w:rFonts w:ascii="等线" w:hAnsi="等线" w:eastAsia="等线" w:cs="Times New Roman"/>
      <w:sz w:val="22"/>
      <w:szCs w:val="22"/>
      <w:lang w:val="en-US" w:eastAsia="zh-CN" w:bidi="ar-SA"/>
    </w:rPr>
  </w:style>
  <w:style w:type="paragraph" w:customStyle="1" w:styleId="42">
    <w:name w:val="列出段落8"/>
    <w:basedOn w:val="1"/>
    <w:qFormat/>
    <w:uiPriority w:val="99"/>
    <w:pPr>
      <w:ind w:firstLine="420"/>
    </w:pPr>
  </w:style>
  <w:style w:type="paragraph" w:customStyle="1" w:styleId="43">
    <w:name w:val="SSE表格文字"/>
    <w:basedOn w:val="1"/>
    <w:qFormat/>
    <w:uiPriority w:val="99"/>
    <w:pPr>
      <w:widowControl/>
      <w:jc w:val="center"/>
    </w:pPr>
    <w:rPr>
      <w:rFonts w:eastAsia="仿宋_GB2312" w:cs="Times New Roman"/>
      <w:color w:val="000000"/>
      <w:kern w:val="0"/>
      <w:sz w:val="24"/>
      <w:szCs w:val="24"/>
    </w:rPr>
  </w:style>
  <w:style w:type="character" w:customStyle="1" w:styleId="44">
    <w:name w:val="标题 1 字符"/>
    <w:basedOn w:val="21"/>
    <w:link w:val="3"/>
    <w:qFormat/>
    <w:uiPriority w:val="9"/>
    <w:rPr>
      <w:rFonts w:ascii="Times New Roman" w:hAnsi="Times New Roman" w:eastAsia="仿宋"/>
      <w:b/>
      <w:bCs/>
      <w:kern w:val="44"/>
      <w:sz w:val="32"/>
      <w:szCs w:val="44"/>
    </w:rPr>
  </w:style>
  <w:style w:type="character" w:customStyle="1" w:styleId="45">
    <w:name w:val="标题 字符"/>
    <w:basedOn w:val="21"/>
    <w:link w:val="18"/>
    <w:qFormat/>
    <w:uiPriority w:val="10"/>
    <w:rPr>
      <w:rFonts w:eastAsia="仿宋" w:cs="宋体"/>
      <w:bCs/>
      <w:kern w:val="2"/>
      <w:sz w:val="32"/>
      <w:szCs w:val="32"/>
    </w:rPr>
  </w:style>
  <w:style w:type="paragraph" w:customStyle="1" w:styleId="46">
    <w:name w:val="List Paragraph_80ef70a5-f2c6-495e-940c-4f7a29d903b6"/>
    <w:basedOn w:val="1"/>
    <w:qFormat/>
    <w:uiPriority w:val="34"/>
    <w:pPr>
      <w:ind w:firstLine="420"/>
    </w:pPr>
  </w:style>
  <w:style w:type="character" w:customStyle="1" w:styleId="47">
    <w:name w:val="页眉 字符"/>
    <w:basedOn w:val="21"/>
    <w:link w:val="15"/>
    <w:qFormat/>
    <w:uiPriority w:val="99"/>
    <w:rPr>
      <w:rFonts w:eastAsia="仿宋" w:cs="宋体"/>
      <w:kern w:val="2"/>
      <w:sz w:val="18"/>
      <w:szCs w:val="18"/>
    </w:rPr>
  </w:style>
  <w:style w:type="character" w:customStyle="1" w:styleId="48">
    <w:name w:val="页脚 字符"/>
    <w:basedOn w:val="21"/>
    <w:link w:val="14"/>
    <w:qFormat/>
    <w:uiPriority w:val="99"/>
    <w:rPr>
      <w:rFonts w:eastAsia="仿宋" w:cs="宋体"/>
      <w:kern w:val="2"/>
      <w:sz w:val="18"/>
      <w:szCs w:val="18"/>
    </w:rPr>
  </w:style>
  <w:style w:type="paragraph" w:customStyle="1" w:styleId="49">
    <w:name w:val="TOC Heading_3d2948f8-e7c8-4657-a2a2-62d31b2ef3d9"/>
    <w:basedOn w:val="3"/>
    <w:next w:val="1"/>
    <w:qFormat/>
    <w:uiPriority w:val="39"/>
    <w:pPr>
      <w:widowControl/>
      <w:spacing w:before="240" w:beforeAutospacing="0" w:after="0" w:afterAutospacing="0" w:line="259" w:lineRule="auto"/>
      <w:ind w:firstLine="0" w:firstLineChars="0"/>
      <w:jc w:val="left"/>
      <w:outlineLvl w:val="9"/>
    </w:pPr>
    <w:rPr>
      <w:rFonts w:ascii="等线 Light" w:hAnsi="等线 Light" w:eastAsia="等线 Light" w:cs="宋体"/>
      <w:b w:val="0"/>
      <w:bCs w:val="0"/>
      <w:color w:val="2E75B6"/>
      <w:kern w:val="0"/>
      <w:szCs w:val="32"/>
    </w:rPr>
  </w:style>
  <w:style w:type="paragraph" w:customStyle="1" w:styleId="50">
    <w:name w:val="条款"/>
    <w:basedOn w:val="36"/>
    <w:qFormat/>
    <w:uiPriority w:val="0"/>
    <w:pPr>
      <w:numPr>
        <w:ilvl w:val="0"/>
        <w:numId w:val="2"/>
      </w:numPr>
      <w:tabs>
        <w:tab w:val="left" w:pos="0"/>
        <w:tab w:val="left" w:pos="2268"/>
      </w:tabs>
      <w:spacing w:line="240" w:lineRule="auto"/>
      <w:jc w:val="left"/>
    </w:pPr>
    <w:rPr>
      <w:rFonts w:ascii="仿宋_GB2312" w:hAnsi="仿宋_GB2312" w:eastAsia="仿宋_GB2312" w:cs="仿宋"/>
      <w:sz w:val="32"/>
      <w:szCs w:val="32"/>
      <w:lang w:val="zh-CN"/>
    </w:rPr>
  </w:style>
  <w:style w:type="paragraph" w:customStyle="1" w:styleId="51">
    <w:name w:val="列出段落2"/>
    <w:basedOn w:val="1"/>
    <w:qFormat/>
    <w:uiPriority w:val="34"/>
    <w:pPr>
      <w:widowControl w:val="0"/>
      <w:spacing w:after="0" w:line="240" w:lineRule="auto"/>
      <w:ind w:firstLine="420" w:firstLineChars="200"/>
    </w:pPr>
    <w:rPr>
      <w:rFonts w:ascii="Calibri" w:hAnsi="Calibri" w:eastAsia="宋体" w:cs="Times New Roman"/>
      <w:kern w:val="2"/>
      <w:sz w:val="3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10543</Words>
  <Characters>10575</Characters>
  <Paragraphs>210</Paragraphs>
  <TotalTime>21</TotalTime>
  <ScaleCrop>false</ScaleCrop>
  <LinksUpToDate>false</LinksUpToDate>
  <CharactersWithSpaces>10576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2022-05-30T04:56:00Z</dcterms:created>
  <dc:creator>Jingjing Mu(Sarah)</dc:creator>
  <cp:lastModifiedBy>nyj</cp:lastModifiedBy>
  <cp:lastPrinted>2023-04-13T02:06:00Z</cp:lastPrinted>
  <dcterms:modified xsi:type="dcterms:W3CDTF">2023-04-21T17:17:52Z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AE62938569B749649A914A46F8FCA061</vt:lpwstr>
  </property>
</Properties>
</file>