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sz w:val="28"/>
          <w:szCs w:val="28"/>
        </w:rPr>
      </w:pPr>
      <w:r>
        <w:rPr>
          <w:rFonts w:hint="eastAsia" w:ascii="宋体" w:hAnsi="宋体" w:eastAsia="宋体" w:cs="宋体"/>
          <w:b/>
          <w:bCs/>
          <w:sz w:val="32"/>
          <w:szCs w:val="32"/>
        </w:rPr>
        <w:t>国家计委办公厅关于对盐酸恩丹西酮等4种新药价格的批复</w:t>
      </w:r>
      <w:r>
        <w:rPr>
          <w:rFonts w:hint="eastAsia" w:ascii="宋体" w:hAnsi="宋体" w:eastAsia="宋体" w:cs="宋体"/>
          <w:b/>
          <w:bCs/>
          <w:sz w:val="32"/>
          <w:szCs w:val="32"/>
        </w:rPr>
        <w:br w:type="textWrapping"/>
      </w:r>
      <w:r>
        <w:rPr>
          <w:rFonts w:hint="default" w:ascii="Times New Roman" w:hAnsi="Times New Roman" w:eastAsia="宋体" w:cs="Times New Roman"/>
          <w:sz w:val="28"/>
          <w:szCs w:val="28"/>
        </w:rPr>
        <w:t>一九九九年 二月十日    计办价格[1999]99号</w:t>
      </w:r>
    </w:p>
    <w:p>
      <w:pP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江苏、辽宁、山东、广东省物价局：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江苏省物价局《关于申报富米汀等药品价格的函》（苏价工函[1998]206号）、辽宁物价局《关于申请佳乐施、榄香烯乳注射液价格的报告》（辽价工函[1998]43号）、山东省物价局《关于核定马蔺子素胶囊价格的请示》（鲁价工发[1998]420号）和广东省物价局《关于新药怡美力（尼美舒利片）价格管理权限的请示》（粤价[1998]327号）均悉。经研究，现批复如下：</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根据《药品价格管理暂行办法》的有关规定，核定下列新药价格为：</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常州市第二制药厂生产的二类新化学药品盐酸恩丹西酮针剂（商品名富米汀），规格为每盒4毫克&amp;times;2毫升&amp;times;6支，含税出厂价格、批发价格和零售价格分别为每盒386元、463元和510元；规格为每盒8毫克&amp;times;4毫升&amp;times;6支，含税出厂价格、批发价格和零售价格分别为每盒667元、800元和880元。</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常州市北杰药业公司生产的二类新化学药品盐酸恩丹西酮片剂（商品名富米汀），规格为每瓶4毫克&amp;times;12片，含税出厂价格、批发价格和零售价格分别为每瓶440元、524元和576元。</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大连金港制药有限公司生产的二类新化学药品榄香烯乳注射液，规格为每支5毫升:25毫克，含税出厂价格、批发价格和零售价格分别为每支19.70元、23.60元和27元；规格为每支20毫升:100毫克，含税出厂价格、批发价格和零售价格分别为每支77.8元、93.4元和107元。</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山东新华制药股份有限公司生产的国家二类新化学药品马蔺子素胶囊，规格为每盒55毫克&amp;times;4粒，含税出厂价格、批发价格和零售价格分别为每盒59.9元、71.3元和82元；规格为每盒55毫克&amp;times;6粒，含税出厂价格、批发价格和零售价格分别为每盒89元、106元和121元。</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广东健力宝药业有限公司生产的国家二类新化学药品尼美舒利片剂（商品名怡美力），规格为每盒100毫克&amp;times;10片，含税出厂价格、批发价格和零售价格分别为每盒24元、28.6元和33元。</w:t>
      </w:r>
    </w:p>
    <w:p>
      <w:pPr>
        <w:keepNext w:val="0"/>
        <w:keepLines w:val="0"/>
        <w:pageBreakBefore w:val="0"/>
        <w:widowControl w:val="0"/>
        <w:numPr>
          <w:numId w:val="0"/>
        </w:numPr>
        <w:kinsoku/>
        <w:wordWrap/>
        <w:overflowPunct/>
        <w:topLinePunct w:val="0"/>
        <w:autoSpaceDE/>
        <w:autoSpaceDN/>
        <w:bidi w:val="0"/>
        <w:adjustRightInd/>
        <w:snapToGrid/>
        <w:ind w:leftChars="0"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上述药品的具体价格详见附表。</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上述药品价格自1999年2月20日起执行。</w:t>
      </w:r>
    </w:p>
    <w:p>
      <w:pPr>
        <w:keepNext w:val="0"/>
        <w:keepLines w:val="0"/>
        <w:pageBreakBefore w:val="0"/>
        <w:widowControl w:val="0"/>
        <w:numPr>
          <w:numId w:val="0"/>
        </w:numPr>
        <w:kinsoku/>
        <w:wordWrap/>
        <w:overflowPunct/>
        <w:topLinePunct w:val="0"/>
        <w:autoSpaceDE/>
        <w:autoSpaceDN/>
        <w:bidi w:val="0"/>
        <w:adjustRightInd/>
        <w:snapToGrid/>
        <w:ind w:leftChars="0"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三、上述药品其它规格品价格由产地省级物价部门按与附表所列代表品价格保持合理比价的原则核定，报我委（价格司）备案。</w:t>
      </w:r>
    </w:p>
    <w:p>
      <w:pPr>
        <w:keepNext w:val="0"/>
        <w:keepLines w:val="0"/>
        <w:pageBreakBefore w:val="0"/>
        <w:widowControl w:val="0"/>
        <w:numPr>
          <w:numId w:val="0"/>
        </w:numPr>
        <w:kinsoku/>
        <w:wordWrap/>
        <w:overflowPunct/>
        <w:topLinePunct w:val="0"/>
        <w:autoSpaceDE/>
        <w:autoSpaceDN/>
        <w:bidi w:val="0"/>
        <w:adjustRightInd/>
        <w:snapToGrid/>
        <w:ind w:leftChars="0"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四、各药品生产、经营企业和医疗单位可以低于上述规定的价格销售，但同时必须严格按实际进价加规定差率顺加作价，实际购进价格低于规定的出厂或批发价格的，必须相应同幅度降低其批发或零售价格。</w:t>
      </w:r>
    </w:p>
    <w:p>
      <w:pPr>
        <w:rPr>
          <w:rFonts w:hint="default" w:ascii="Times New Roman" w:hAnsi="Times New Roman" w:eastAsia="宋体" w:cs="Times New Roman"/>
          <w:sz w:val="28"/>
          <w:szCs w:val="28"/>
        </w:rPr>
        <w:sectPr>
          <w:pgSz w:w="11906" w:h="16838"/>
          <w:pgMar w:top="1440" w:right="1800" w:bottom="1440" w:left="1800" w:header="851" w:footer="992" w:gutter="0"/>
          <w:cols w:space="425" w:num="1"/>
          <w:docGrid w:type="lines" w:linePitch="312" w:charSpace="0"/>
        </w:sectPr>
      </w:pPr>
      <w:r>
        <w:rPr>
          <w:rFonts w:hint="default" w:ascii="Times New Roman" w:hAnsi="Times New Roman" w:eastAsia="宋体" w:cs="Times New Roman"/>
          <w:sz w:val="28"/>
          <w:szCs w:val="28"/>
        </w:rPr>
        <w:br w:type="textWrapping"/>
      </w:r>
    </w:p>
    <w:p>
      <w:pP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附:</w:t>
      </w:r>
    </w:p>
    <w:p>
      <w:pPr>
        <w:jc w:val="center"/>
        <w:rPr>
          <w:rFonts w:hint="eastAsia" w:ascii="宋体" w:hAnsi="宋体" w:eastAsia="宋体" w:cs="宋体"/>
          <w:b/>
          <w:bCs/>
          <w:sz w:val="28"/>
          <w:szCs w:val="28"/>
        </w:rPr>
      </w:pPr>
      <w:r>
        <w:rPr>
          <w:rFonts w:hint="eastAsia" w:ascii="宋体" w:hAnsi="宋体" w:eastAsia="宋体" w:cs="宋体"/>
          <w:b/>
          <w:bCs/>
          <w:sz w:val="28"/>
          <w:szCs w:val="28"/>
        </w:rPr>
        <w:t>盐酸恩丹西酮等4种新药价格表</w:t>
      </w:r>
    </w:p>
    <w:tbl>
      <w:tblPr>
        <w:tblW w:w="5000" w:type="pct"/>
        <w:tblInd w:w="0" w:type="dxa"/>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shd w:val="clear"/>
        <w:tblLayout w:type="fixed"/>
        <w:tblCellMar>
          <w:top w:w="30" w:type="dxa"/>
          <w:left w:w="30" w:type="dxa"/>
          <w:bottom w:w="30" w:type="dxa"/>
          <w:right w:w="30" w:type="dxa"/>
        </w:tblCellMar>
      </w:tblPr>
      <w:tblGrid>
        <w:gridCol w:w="670"/>
        <w:gridCol w:w="1547"/>
        <w:gridCol w:w="1108"/>
        <w:gridCol w:w="2429"/>
        <w:gridCol w:w="879"/>
        <w:gridCol w:w="822"/>
        <w:gridCol w:w="825"/>
        <w:gridCol w:w="822"/>
        <w:gridCol w:w="825"/>
        <w:gridCol w:w="943"/>
        <w:gridCol w:w="2134"/>
        <w:gridCol w:w="1254"/>
      </w:tblGrid>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编号</w:t>
            </w:r>
          </w:p>
        </w:tc>
        <w:tc>
          <w:tcPr>
            <w:tcW w:w="542"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品名（商品名）</w:t>
            </w:r>
          </w:p>
        </w:tc>
        <w:tc>
          <w:tcPr>
            <w:tcW w:w="38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剂型</w:t>
            </w:r>
          </w:p>
        </w:tc>
        <w:tc>
          <w:tcPr>
            <w:tcW w:w="851"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规格</w:t>
            </w:r>
          </w:p>
        </w:tc>
        <w:tc>
          <w:tcPr>
            <w:tcW w:w="30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单位</w:t>
            </w:r>
          </w:p>
        </w:tc>
        <w:tc>
          <w:tcPr>
            <w:tcW w:w="577" w:type="pct"/>
            <w:gridSpan w:val="2"/>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出厂价格</w:t>
            </w:r>
          </w:p>
        </w:tc>
        <w:tc>
          <w:tcPr>
            <w:tcW w:w="577" w:type="pct"/>
            <w:gridSpan w:val="2"/>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批发价格</w:t>
            </w:r>
          </w:p>
        </w:tc>
        <w:tc>
          <w:tcPr>
            <w:tcW w:w="330"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零售价格</w:t>
            </w:r>
          </w:p>
        </w:tc>
        <w:tc>
          <w:tcPr>
            <w:tcW w:w="74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生产企业</w:t>
            </w:r>
          </w:p>
        </w:tc>
        <w:tc>
          <w:tcPr>
            <w:tcW w:w="439"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备注</w:t>
            </w:r>
          </w:p>
        </w:tc>
      </w:tr>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542"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38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851"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30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无税</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含税</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无税</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含税</w:t>
            </w:r>
          </w:p>
        </w:tc>
        <w:tc>
          <w:tcPr>
            <w:tcW w:w="330"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74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439"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r>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w:t>
            </w:r>
          </w:p>
        </w:tc>
        <w:tc>
          <w:tcPr>
            <w:tcW w:w="542"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盐酸恩丹西酮</w:t>
            </w:r>
          </w:p>
        </w:tc>
        <w:tc>
          <w:tcPr>
            <w:tcW w:w="38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注射剂</w:t>
            </w:r>
          </w:p>
        </w:tc>
        <w:tc>
          <w:tcPr>
            <w:tcW w:w="851"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4mg&amp;times;4ml&amp;tim</w:t>
            </w:r>
            <w:bookmarkStart w:id="0" w:name="_GoBack"/>
            <w:bookmarkEnd w:id="0"/>
            <w:r>
              <w:rPr>
                <w:rFonts w:hint="default" w:ascii="Times New Roman" w:hAnsi="Times New Roman" w:eastAsia="宋体" w:cs="Times New Roman"/>
                <w:sz w:val="24"/>
                <w:szCs w:val="24"/>
                <w:lang w:val="en-US" w:eastAsia="zh-CN"/>
              </w:rPr>
              <w:t>es;6支</w:t>
            </w:r>
          </w:p>
        </w:tc>
        <w:tc>
          <w:tcPr>
            <w:tcW w:w="30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盒</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330</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386</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396</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463</w:t>
            </w:r>
          </w:p>
        </w:tc>
        <w:tc>
          <w:tcPr>
            <w:tcW w:w="330"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510</w:t>
            </w:r>
          </w:p>
        </w:tc>
        <w:tc>
          <w:tcPr>
            <w:tcW w:w="74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常州第二制药厂</w:t>
            </w:r>
          </w:p>
        </w:tc>
        <w:tc>
          <w:tcPr>
            <w:tcW w:w="439"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二类新化学药品</w:t>
            </w:r>
          </w:p>
        </w:tc>
      </w:tr>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542"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38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851"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8mg&amp;times;2ml6支</w:t>
            </w:r>
          </w:p>
        </w:tc>
        <w:tc>
          <w:tcPr>
            <w:tcW w:w="30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盒</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570</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667</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684</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800</w:t>
            </w:r>
          </w:p>
        </w:tc>
        <w:tc>
          <w:tcPr>
            <w:tcW w:w="330"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880</w:t>
            </w:r>
          </w:p>
        </w:tc>
        <w:tc>
          <w:tcPr>
            <w:tcW w:w="74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439"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r>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542"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3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片剂</w:t>
            </w:r>
          </w:p>
        </w:tc>
        <w:tc>
          <w:tcPr>
            <w:tcW w:w="851"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4mg&amp;times;12片</w:t>
            </w:r>
          </w:p>
        </w:tc>
        <w:tc>
          <w:tcPr>
            <w:tcW w:w="30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瓶</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376</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440</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447</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524</w:t>
            </w:r>
          </w:p>
        </w:tc>
        <w:tc>
          <w:tcPr>
            <w:tcW w:w="330"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576</w:t>
            </w:r>
          </w:p>
        </w:tc>
        <w:tc>
          <w:tcPr>
            <w:tcW w:w="74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常州北杰药业有限公司</w:t>
            </w:r>
          </w:p>
        </w:tc>
        <w:tc>
          <w:tcPr>
            <w:tcW w:w="43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w:t>
            </w:r>
          </w:p>
        </w:tc>
      </w:tr>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w:t>
            </w:r>
          </w:p>
        </w:tc>
        <w:tc>
          <w:tcPr>
            <w:tcW w:w="542"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榄香烯乳</w:t>
            </w:r>
          </w:p>
        </w:tc>
        <w:tc>
          <w:tcPr>
            <w:tcW w:w="38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注射剂</w:t>
            </w:r>
          </w:p>
        </w:tc>
        <w:tc>
          <w:tcPr>
            <w:tcW w:w="851"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5ml：25mg</w:t>
            </w:r>
          </w:p>
        </w:tc>
        <w:tc>
          <w:tcPr>
            <w:tcW w:w="30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支</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16.8</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19.7</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20.2</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23.6</w:t>
            </w:r>
          </w:p>
        </w:tc>
        <w:tc>
          <w:tcPr>
            <w:tcW w:w="330"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27</w:t>
            </w:r>
          </w:p>
        </w:tc>
        <w:tc>
          <w:tcPr>
            <w:tcW w:w="74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大连金港制药有限公司</w:t>
            </w:r>
          </w:p>
        </w:tc>
        <w:tc>
          <w:tcPr>
            <w:tcW w:w="439"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w:t>
            </w:r>
          </w:p>
        </w:tc>
      </w:tr>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542"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38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851"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20ml：100mg</w:t>
            </w:r>
          </w:p>
        </w:tc>
        <w:tc>
          <w:tcPr>
            <w:tcW w:w="30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支</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66.5</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77.8</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79.8</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93.4</w:t>
            </w:r>
          </w:p>
        </w:tc>
        <w:tc>
          <w:tcPr>
            <w:tcW w:w="330"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107</w:t>
            </w:r>
          </w:p>
        </w:tc>
        <w:tc>
          <w:tcPr>
            <w:tcW w:w="74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439"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r>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3</w:t>
            </w:r>
          </w:p>
        </w:tc>
        <w:tc>
          <w:tcPr>
            <w:tcW w:w="542"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马蔺子素</w:t>
            </w:r>
          </w:p>
        </w:tc>
        <w:tc>
          <w:tcPr>
            <w:tcW w:w="38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胶囊</w:t>
            </w:r>
          </w:p>
        </w:tc>
        <w:tc>
          <w:tcPr>
            <w:tcW w:w="851"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55mg&amp;times;4粒</w:t>
            </w:r>
          </w:p>
        </w:tc>
        <w:tc>
          <w:tcPr>
            <w:tcW w:w="30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盒</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51.2</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59.9</w:t>
            </w:r>
          </w:p>
        </w:tc>
        <w:tc>
          <w:tcPr>
            <w:tcW w:w="288"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60.9</w:t>
            </w:r>
          </w:p>
        </w:tc>
        <w:tc>
          <w:tcPr>
            <w:tcW w:w="289"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71.3</w:t>
            </w:r>
          </w:p>
        </w:tc>
        <w:tc>
          <w:tcPr>
            <w:tcW w:w="330" w:type="pc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82</w:t>
            </w:r>
          </w:p>
        </w:tc>
        <w:tc>
          <w:tcPr>
            <w:tcW w:w="748" w:type="pct"/>
            <w:vMerge w:val="restart"/>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山东新华制药股份有限公司</w:t>
            </w:r>
          </w:p>
        </w:tc>
        <w:tc>
          <w:tcPr>
            <w:tcW w:w="439" w:type="pct"/>
            <w:tcBorders>
              <w:top w:val="outset" w:color="41BEBE" w:sz="6" w:space="0"/>
              <w:left w:val="nil"/>
              <w:bottom w:val="outset" w:color="41BEBE" w:sz="6" w:space="0"/>
              <w:right w:val="outset" w:color="41BEBE" w:sz="6" w:space="0"/>
            </w:tcBorders>
            <w:shd w:val="clear"/>
            <w:vAlign w:val="center"/>
          </w:tcPr>
          <w:p>
            <w:pPr>
              <w:rPr>
                <w:rFonts w:hint="default" w:ascii="Times New Roman" w:hAnsi="Times New Roman" w:eastAsia="宋体" w:cs="Times New Roman"/>
                <w:sz w:val="24"/>
                <w:szCs w:val="24"/>
              </w:rPr>
            </w:pPr>
          </w:p>
        </w:tc>
      </w:tr>
      <w:tr>
        <w:tblPrEx>
          <w:tblBorders>
            <w:top w:val="outset" w:color="41BEBE" w:sz="12" w:space="0"/>
            <w:left w:val="outset" w:color="41BEBE" w:sz="12" w:space="0"/>
            <w:bottom w:val="outset" w:color="41BEBE" w:sz="12" w:space="0"/>
            <w:right w:val="outset" w:color="41BEBE" w:sz="12" w:space="0"/>
            <w:insideH w:val="outset" w:color="41BEBE" w:sz="12" w:space="0"/>
            <w:insideV w:val="outset" w:color="41BEBE" w:sz="12" w:space="0"/>
          </w:tblBorders>
          <w:tblCellMar>
            <w:top w:w="30" w:type="dxa"/>
            <w:left w:w="30" w:type="dxa"/>
            <w:bottom w:w="30" w:type="dxa"/>
            <w:right w:w="30" w:type="dxa"/>
          </w:tblCellMar>
        </w:tblPrEx>
        <w:tc>
          <w:tcPr>
            <w:tcW w:w="234"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542"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38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jc w:val="center"/>
              <w:rPr>
                <w:rFonts w:hint="default" w:ascii="Times New Roman" w:hAnsi="Times New Roman" w:eastAsia="宋体" w:cs="Times New Roman"/>
                <w:sz w:val="24"/>
                <w:szCs w:val="24"/>
              </w:rPr>
            </w:pPr>
          </w:p>
        </w:tc>
        <w:tc>
          <w:tcPr>
            <w:tcW w:w="851" w:type="pct"/>
            <w:tcBorders>
              <w:top w:val="outset" w:color="41BEBE" w:sz="6" w:space="0"/>
              <w:left w:val="nil"/>
              <w:bottom w:val="outset" w:color="41BEBE" w:sz="6" w:space="0"/>
              <w:right w:val="outset" w:color="41BEBE" w:sz="6" w:space="0"/>
            </w:tcBorders>
            <w:shd w:val="clear"/>
            <w:vAlign w:val="center"/>
          </w:tcPr>
          <w:p>
            <w:pPr>
              <w:jc w:val="center"/>
              <w:rPr>
                <w:rFonts w:hint="default" w:ascii="Times New Roman" w:hAnsi="Times New Roman" w:eastAsia="宋体" w:cs="Times New Roman"/>
                <w:sz w:val="24"/>
                <w:szCs w:val="24"/>
              </w:rPr>
            </w:pPr>
          </w:p>
        </w:tc>
        <w:tc>
          <w:tcPr>
            <w:tcW w:w="308" w:type="pct"/>
            <w:tcBorders>
              <w:top w:val="outset" w:color="41BEBE" w:sz="6" w:space="0"/>
              <w:left w:val="nil"/>
              <w:bottom w:val="outset" w:color="41BEBE" w:sz="6" w:space="0"/>
              <w:right w:val="outset" w:color="41BEBE" w:sz="6" w:space="0"/>
            </w:tcBorders>
            <w:shd w:val="clear"/>
            <w:vAlign w:val="center"/>
          </w:tcPr>
          <w:p>
            <w:pPr>
              <w:jc w:val="center"/>
              <w:rPr>
                <w:rFonts w:hint="default" w:ascii="Times New Roman" w:hAnsi="Times New Roman" w:eastAsia="宋体" w:cs="Times New Roman"/>
                <w:sz w:val="24"/>
                <w:szCs w:val="24"/>
              </w:rPr>
            </w:pPr>
          </w:p>
        </w:tc>
        <w:tc>
          <w:tcPr>
            <w:tcW w:w="288" w:type="pct"/>
            <w:tcBorders>
              <w:top w:val="outset" w:color="41BEBE" w:sz="6" w:space="0"/>
              <w:left w:val="nil"/>
              <w:bottom w:val="outset" w:color="41BEBE" w:sz="6" w:space="0"/>
              <w:right w:val="outset" w:color="41BEBE" w:sz="6" w:space="0"/>
            </w:tcBorders>
            <w:shd w:val="clear"/>
            <w:vAlign w:val="center"/>
          </w:tcPr>
          <w:p>
            <w:pPr>
              <w:jc w:val="center"/>
              <w:rPr>
                <w:rFonts w:hint="default" w:ascii="Times New Roman" w:hAnsi="Times New Roman" w:eastAsia="宋体" w:cs="Times New Roman"/>
                <w:sz w:val="24"/>
                <w:szCs w:val="24"/>
              </w:rPr>
            </w:pPr>
          </w:p>
        </w:tc>
        <w:tc>
          <w:tcPr>
            <w:tcW w:w="289" w:type="pct"/>
            <w:tcBorders>
              <w:top w:val="outset" w:color="41BEBE" w:sz="6" w:space="0"/>
              <w:left w:val="nil"/>
              <w:bottom w:val="outset" w:color="41BEBE" w:sz="6" w:space="0"/>
              <w:right w:val="outset" w:color="41BEBE" w:sz="6" w:space="0"/>
            </w:tcBorders>
            <w:shd w:val="clear"/>
            <w:vAlign w:val="center"/>
          </w:tcPr>
          <w:p>
            <w:pPr>
              <w:jc w:val="center"/>
              <w:rPr>
                <w:rFonts w:hint="default" w:ascii="Times New Roman" w:hAnsi="Times New Roman" w:eastAsia="宋体" w:cs="Times New Roman"/>
                <w:sz w:val="24"/>
                <w:szCs w:val="24"/>
              </w:rPr>
            </w:pPr>
          </w:p>
        </w:tc>
        <w:tc>
          <w:tcPr>
            <w:tcW w:w="288" w:type="pct"/>
            <w:tcBorders>
              <w:top w:val="outset" w:color="41BEBE" w:sz="6" w:space="0"/>
              <w:left w:val="nil"/>
              <w:bottom w:val="outset" w:color="41BEBE" w:sz="6" w:space="0"/>
              <w:right w:val="outset" w:color="41BEBE" w:sz="6" w:space="0"/>
            </w:tcBorders>
            <w:shd w:val="clear"/>
            <w:vAlign w:val="center"/>
          </w:tcPr>
          <w:p>
            <w:pPr>
              <w:jc w:val="center"/>
              <w:rPr>
                <w:rFonts w:hint="default" w:ascii="Times New Roman" w:hAnsi="Times New Roman" w:eastAsia="宋体" w:cs="Times New Roman"/>
                <w:sz w:val="24"/>
                <w:szCs w:val="24"/>
              </w:rPr>
            </w:pPr>
          </w:p>
        </w:tc>
        <w:tc>
          <w:tcPr>
            <w:tcW w:w="289" w:type="pct"/>
            <w:tcBorders>
              <w:top w:val="outset" w:color="41BEBE" w:sz="6" w:space="0"/>
              <w:left w:val="nil"/>
              <w:bottom w:val="outset" w:color="41BEBE" w:sz="6" w:space="0"/>
              <w:right w:val="outset" w:color="41BEBE" w:sz="6" w:space="0"/>
            </w:tcBorders>
            <w:shd w:val="clear"/>
            <w:vAlign w:val="center"/>
          </w:tcPr>
          <w:p>
            <w:pPr>
              <w:jc w:val="center"/>
              <w:rPr>
                <w:rFonts w:hint="default" w:ascii="Times New Roman" w:hAnsi="Times New Roman" w:eastAsia="宋体" w:cs="Times New Roman"/>
                <w:sz w:val="24"/>
                <w:szCs w:val="24"/>
              </w:rPr>
            </w:pPr>
          </w:p>
        </w:tc>
        <w:tc>
          <w:tcPr>
            <w:tcW w:w="330" w:type="pct"/>
            <w:tcBorders>
              <w:top w:val="outset" w:color="41BEBE" w:sz="6" w:space="0"/>
              <w:left w:val="nil"/>
              <w:bottom w:val="outset" w:color="41BEBE" w:sz="6" w:space="0"/>
              <w:right w:val="outset" w:color="41BEBE" w:sz="6" w:space="0"/>
            </w:tcBorders>
            <w:shd w:val="clear"/>
            <w:vAlign w:val="center"/>
          </w:tcPr>
          <w:p>
            <w:pPr>
              <w:jc w:val="center"/>
              <w:rPr>
                <w:rFonts w:hint="default" w:ascii="Times New Roman" w:hAnsi="Times New Roman" w:eastAsia="宋体" w:cs="Times New Roman"/>
                <w:sz w:val="24"/>
                <w:szCs w:val="24"/>
              </w:rPr>
            </w:pPr>
          </w:p>
        </w:tc>
        <w:tc>
          <w:tcPr>
            <w:tcW w:w="748" w:type="pct"/>
            <w:vMerge w:val="continue"/>
            <w:tcBorders>
              <w:top w:val="outset" w:color="41BEBE" w:sz="6" w:space="0"/>
              <w:left w:val="outset" w:color="41BEBE" w:sz="6" w:space="0"/>
              <w:bottom w:val="outset" w:color="41BEBE" w:sz="6" w:space="0"/>
              <w:right w:val="outset" w:color="41BEBE" w:sz="6" w:space="0"/>
            </w:tcBorders>
            <w:shd w:val="clear"/>
            <w:tcMar>
              <w:top w:w="75" w:type="dxa"/>
              <w:left w:w="150" w:type="dxa"/>
              <w:bottom w:w="75" w:type="dxa"/>
              <w:right w:w="150" w:type="dxa"/>
            </w:tcMar>
            <w:vAlign w:val="center"/>
          </w:tcPr>
          <w:p>
            <w:pPr>
              <w:rPr>
                <w:rFonts w:hint="default" w:ascii="Times New Roman" w:hAnsi="Times New Roman" w:eastAsia="宋体" w:cs="Times New Roman"/>
                <w:sz w:val="24"/>
                <w:szCs w:val="24"/>
              </w:rPr>
            </w:pPr>
          </w:p>
        </w:tc>
        <w:tc>
          <w:tcPr>
            <w:tcW w:w="439" w:type="pct"/>
            <w:tcBorders>
              <w:top w:val="outset" w:color="41BEBE" w:sz="6" w:space="0"/>
              <w:left w:val="nil"/>
              <w:bottom w:val="outset" w:color="41BEBE" w:sz="6" w:space="0"/>
              <w:right w:val="outset" w:color="41BEBE" w:sz="6" w:space="0"/>
            </w:tcBorders>
            <w:shd w:val="clear"/>
            <w:vAlign w:val="center"/>
          </w:tcPr>
          <w:p>
            <w:pPr>
              <w:rPr>
                <w:rFonts w:hint="default" w:ascii="Times New Roman" w:hAnsi="Times New Roman" w:eastAsia="宋体" w:cs="Times New Roman"/>
                <w:sz w:val="24"/>
                <w:szCs w:val="24"/>
              </w:rPr>
            </w:pPr>
          </w:p>
        </w:tc>
      </w:tr>
    </w:tbl>
    <w:p>
      <w:pPr>
        <w:rPr>
          <w:rFonts w:hint="default" w:ascii="Times New Roman" w:hAnsi="Times New Roman" w:eastAsia="宋体" w:cs="Times New Roman"/>
          <w:sz w:val="28"/>
          <w:szCs w:val="28"/>
        </w:rPr>
      </w:pPr>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sans-serif">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ED450E"/>
    <w:multiLevelType w:val="singleLevel"/>
    <w:tmpl w:val="DDED450E"/>
    <w:lvl w:ilvl="0" w:tentative="0">
      <w:start w:val="1"/>
      <w:numFmt w:val="chineseCounting"/>
      <w:suff w:val="nothing"/>
      <w:lvlText w:val="（%1）"/>
      <w:lvlJc w:val="left"/>
      <w:rPr>
        <w:rFonts w:hint="eastAsia"/>
      </w:rPr>
    </w:lvl>
  </w:abstractNum>
  <w:abstractNum w:abstractNumId="1">
    <w:nsid w:val="ECEFADA8"/>
    <w:multiLevelType w:val="singleLevel"/>
    <w:tmpl w:val="ECEFADA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5B710B"/>
    <w:rsid w:val="FB5B7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2023-02-23T20:09:00Z</dcterms:created>
  <dc:creator>水立方</dc:creator>
  <cp:lastModifiedBy>水立方</cp:lastModifiedBy>
  <dcterms:modified xsi:type="dcterms:W3CDTF">2023-02-23T20:14:07Z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