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国家计委办公厅关于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2"/>
          <w:szCs w:val="32"/>
        </w:rPr>
        <w:t>注射用重组人生长激素价格的批复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br w:type="textWrapping"/>
      </w:r>
      <w:r>
        <w:rPr>
          <w:rFonts w:hint="eastAsia" w:ascii="宋体" w:hAnsi="宋体" w:eastAsia="宋体" w:cs="宋体"/>
          <w:sz w:val="28"/>
          <w:szCs w:val="28"/>
        </w:rPr>
        <w:t>一九九九年二月九日 　　计办价格[1999]91号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吉林省物价局:</w:t>
      </w:r>
      <w:r>
        <w:rPr>
          <w:rFonts w:hint="eastAsia"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</w:rPr>
        <w:t>　　你局《关于常规重组人胰岛素注射液、注射用重组人生长素、重组人粒细胞集落刺激因子注射液和金葡液价格的请示》（吉省价生活字[1998] 134号）收悉。经研究，现对注射用重组人生长激素价格批复如下：</w:t>
      </w:r>
      <w:r>
        <w:rPr>
          <w:rFonts w:hint="eastAsia"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</w:rPr>
        <w:t>　　一、你省长春金赛药业有限责任公司研制生产的注射用重组人生长激素（商品名：金磊生长素），属国家二类新药。根据《药品价格管理暂行办法》的有关规定，核定注射用重组人生长激素价格，规格为每瓶4.5国际单位/1.7毫克的含税出厂价格、批发价格和零售价格分别为136元、166元和 189元；规格为每瓶10国际单位/3.7毫克的含税出厂价格、批发价格和零售价格分别为285元、348元和389元。</w:t>
      </w:r>
      <w:r>
        <w:rPr>
          <w:rFonts w:hint="eastAsia"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</w:rPr>
        <w:t>　　二、上述价格从1999年2月15日起执行。各药品生产、经营企业和医疗单位可以低于上述规定的价格销售，但必须严格按照规定的进销差率和批零差率顺加作价，购进价格低于出厂价格或批发价格的，必须相应同幅度降低其批发价格或零售价格。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2F742F"/>
    <w:rsid w:val="762F7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Office_11.8.2.10587_F1E327BC-269C-435d-A152-05C5408002CA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2023-02-23T20:05:00Z</dcterms:created>
  <dc:creator>水立方</dc:creator>
  <cp:lastModifiedBy>水立方</cp:lastModifiedBy>
  <dcterms:modified xsi:type="dcterms:W3CDTF">2023-02-23T20:08:57Z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2052-11.8.2.10587</vt:lpwstr>
  </property>
</Properties>
</file>