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rPr>
      </w:pPr>
      <w:r>
        <w:rPr>
          <w:rFonts w:hint="eastAsia" w:ascii="宋体" w:hAnsi="宋体" w:eastAsia="宋体" w:cs="宋体"/>
          <w:b/>
          <w:bCs/>
          <w:sz w:val="32"/>
          <w:szCs w:val="32"/>
        </w:rPr>
        <w:t>国家计委关于审定公布脂肪乳注射液价格的通知</w:t>
      </w:r>
      <w:r>
        <w:rPr>
          <w:rFonts w:hint="eastAsia" w:ascii="宋体" w:hAnsi="宋体" w:eastAsia="宋体" w:cs="宋体"/>
          <w:b/>
          <w:bCs/>
          <w:sz w:val="32"/>
          <w:szCs w:val="32"/>
        </w:rPr>
        <w:br w:type="textWrapping"/>
      </w:r>
      <w:r>
        <w:rPr>
          <w:rFonts w:hint="eastAsia" w:ascii="宋体" w:hAnsi="宋体" w:eastAsia="宋体" w:cs="宋体"/>
          <w:sz w:val="28"/>
          <w:szCs w:val="28"/>
        </w:rPr>
        <w:t>一九九九年二月十四日  计价格[1999]166号</w:t>
      </w:r>
    </w:p>
    <w:p>
      <w:pPr>
        <w:jc w:val="cente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各省、自治区、直辖市及计划单列市物价局（委员会）：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按照药品价格管理的有关规定，现核定脂肪乳注射液出厂、批发和零售价格（详见附表），并将有关事项通知如下：</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对获得国家GMP认证或达标企业和未达标企业生产的脂肪乳注射液实行两种价格体系，即分别制定获得国家GMP认证或达标企业和未达标企业生产的脂肪乳注射液的出厂、批发和零售价格。</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附表中未列的其它规格品价格，暂由产地省级物价部门根据现行药品价格管理的有关规定按与表列代表规格品保持合理比价的原则核定，报我委（价格司）备案。</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附表规定的价格自1999年3月1日起执行。</w:t>
      </w:r>
    </w:p>
    <w:p>
      <w:pPr>
        <w:rPr>
          <w:rFonts w:hint="default" w:ascii="Arial" w:hAnsi="Arial" w:eastAsia="Arial" w:cs="Arial"/>
          <w:i w:val="0"/>
          <w:caps w:val="0"/>
          <w:color w:val="000000"/>
          <w:spacing w:val="0"/>
          <w:sz w:val="18"/>
          <w:szCs w:val="18"/>
        </w:rPr>
        <w:sectPr>
          <w:pgSz w:w="11906" w:h="16838"/>
          <w:pgMar w:top="1440" w:right="1800" w:bottom="1440" w:left="1800" w:header="851" w:footer="992" w:gutter="0"/>
          <w:cols w:space="425" w:num="1"/>
          <w:docGrid w:type="lines" w:linePitch="312" w:charSpace="0"/>
        </w:sectPr>
      </w:pPr>
      <w:r>
        <w:rPr>
          <w:rFonts w:hint="default" w:ascii="Arial" w:hAnsi="Arial" w:eastAsia="Arial" w:cs="Arial"/>
          <w:i w:val="0"/>
          <w:caps w:val="0"/>
          <w:color w:val="000000"/>
          <w:spacing w:val="0"/>
          <w:sz w:val="18"/>
          <w:szCs w:val="18"/>
        </w:rPr>
        <w:br w:type="page"/>
      </w:r>
    </w:p>
    <w:p>
      <w:pPr>
        <w:pStyle w:val="2"/>
        <w:keepNext w:val="0"/>
        <w:keepLines w:val="0"/>
        <w:widowControl/>
        <w:suppressLineNumbers w:val="0"/>
        <w:spacing w:before="75" w:beforeAutospacing="0" w:after="75" w:afterAutospacing="0" w:line="360" w:lineRule="atLeast"/>
        <w:ind w:left="0" w:right="0" w:firstLine="0"/>
        <w:jc w:val="left"/>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sz w:val="24"/>
          <w:szCs w:val="24"/>
        </w:rPr>
        <w:t>附：</w:t>
      </w:r>
    </w:p>
    <w:p>
      <w:pPr>
        <w:pStyle w:val="2"/>
        <w:keepNext w:val="0"/>
        <w:keepLines w:val="0"/>
        <w:widowControl/>
        <w:suppressLineNumbers w:val="0"/>
        <w:spacing w:before="75" w:beforeAutospacing="0" w:after="75" w:afterAutospacing="0" w:line="360" w:lineRule="atLeast"/>
        <w:ind w:left="0" w:right="0" w:firstLine="0"/>
        <w:jc w:val="center"/>
        <w:rPr>
          <w:rFonts w:hint="default" w:ascii="Times New Roman" w:hAnsi="Times New Roman" w:eastAsia="宋体" w:cs="Times New Roman"/>
          <w:i w:val="0"/>
          <w:caps w:val="0"/>
          <w:color w:val="000000"/>
          <w:spacing w:val="0"/>
          <w:sz w:val="24"/>
          <w:szCs w:val="24"/>
        </w:rPr>
      </w:pPr>
      <w:r>
        <w:rPr>
          <w:rStyle w:val="5"/>
          <w:rFonts w:hint="default" w:ascii="Times New Roman" w:hAnsi="Times New Roman" w:eastAsia="宋体" w:cs="Times New Roman"/>
          <w:i w:val="0"/>
          <w:caps w:val="0"/>
          <w:color w:val="000000"/>
          <w:spacing w:val="0"/>
          <w:sz w:val="24"/>
          <w:szCs w:val="24"/>
        </w:rPr>
        <w:t>脂肪乳注射液价格表</w:t>
      </w:r>
    </w:p>
    <w:p>
      <w:pPr>
        <w:pStyle w:val="2"/>
        <w:keepNext w:val="0"/>
        <w:keepLines w:val="0"/>
        <w:widowControl/>
        <w:suppressLineNumbers w:val="0"/>
        <w:spacing w:before="75" w:beforeAutospacing="0" w:after="75" w:afterAutospacing="0" w:line="360" w:lineRule="atLeast"/>
        <w:ind w:left="0" w:right="0" w:firstLine="0"/>
        <w:jc w:val="right"/>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sz w:val="24"/>
          <w:szCs w:val="24"/>
        </w:rPr>
        <w:t>金额单位:元</w:t>
      </w:r>
    </w:p>
    <w:tbl>
      <w:tblPr>
        <w:tblW w:w="5000" w:type="pct"/>
        <w:tblInd w:w="0" w:type="dxa"/>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Layout w:type="autofit"/>
        <w:tblCellMar>
          <w:top w:w="30" w:type="dxa"/>
          <w:left w:w="30" w:type="dxa"/>
          <w:bottom w:w="30" w:type="dxa"/>
          <w:right w:w="30" w:type="dxa"/>
        </w:tblCellMar>
      </w:tblPr>
      <w:tblGrid>
        <w:gridCol w:w="570"/>
        <w:gridCol w:w="4848"/>
        <w:gridCol w:w="570"/>
        <w:gridCol w:w="1568"/>
        <w:gridCol w:w="1711"/>
        <w:gridCol w:w="1711"/>
        <w:gridCol w:w="1711"/>
        <w:gridCol w:w="1569"/>
      </w:tblGrid>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tblCellMar>
            <w:top w:w="30" w:type="dxa"/>
            <w:left w:w="30" w:type="dxa"/>
            <w:bottom w:w="30" w:type="dxa"/>
            <w:right w:w="30" w:type="dxa"/>
          </w:tblCellMar>
        </w:tblPrEx>
        <w:tc>
          <w:tcPr>
            <w:tcW w:w="200" w:type="pct"/>
            <w:vMerge w:val="restar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编号</w:t>
            </w:r>
          </w:p>
        </w:tc>
        <w:tc>
          <w:tcPr>
            <w:tcW w:w="1700" w:type="pct"/>
            <w:vMerge w:val="restar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规格</w:t>
            </w:r>
          </w:p>
        </w:tc>
        <w:tc>
          <w:tcPr>
            <w:tcW w:w="200" w:type="pct"/>
            <w:vMerge w:val="restar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单位</w:t>
            </w:r>
          </w:p>
        </w:tc>
        <w:tc>
          <w:tcPr>
            <w:tcW w:w="1150" w:type="pct"/>
            <w:gridSpan w:val="2"/>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出厂价格</w:t>
            </w:r>
          </w:p>
        </w:tc>
        <w:tc>
          <w:tcPr>
            <w:tcW w:w="1200" w:type="pct"/>
            <w:gridSpan w:val="2"/>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批发价格</w:t>
            </w:r>
          </w:p>
        </w:tc>
        <w:tc>
          <w:tcPr>
            <w:tcW w:w="600" w:type="pct"/>
            <w:vMerge w:val="restar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零售价格</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vMerge w:val="continue"/>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i w:val="0"/>
                <w:caps w:val="0"/>
                <w:color w:val="000000"/>
                <w:spacing w:val="0"/>
                <w:sz w:val="24"/>
                <w:szCs w:val="24"/>
              </w:rPr>
            </w:pPr>
          </w:p>
        </w:tc>
        <w:tc>
          <w:tcPr>
            <w:tcW w:w="1700" w:type="pct"/>
            <w:vMerge w:val="continue"/>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i w:val="0"/>
                <w:caps w:val="0"/>
                <w:color w:val="000000"/>
                <w:spacing w:val="0"/>
                <w:sz w:val="24"/>
                <w:szCs w:val="24"/>
              </w:rPr>
            </w:pPr>
          </w:p>
        </w:tc>
        <w:tc>
          <w:tcPr>
            <w:tcW w:w="200" w:type="pct"/>
            <w:vMerge w:val="continue"/>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i w:val="0"/>
                <w:caps w:val="0"/>
                <w:color w:val="000000"/>
                <w:spacing w:val="0"/>
                <w:sz w:val="24"/>
                <w:szCs w:val="24"/>
              </w:rPr>
            </w:pP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无税</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含税</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无税</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b/>
                <w:bCs/>
                <w:i w:val="0"/>
                <w:caps w:val="0"/>
                <w:color w:val="000000"/>
                <w:spacing w:val="0"/>
                <w:sz w:val="24"/>
                <w:szCs w:val="24"/>
              </w:rPr>
            </w:pPr>
            <w:r>
              <w:rPr>
                <w:rFonts w:hint="default" w:ascii="Times New Roman" w:hAnsi="Times New Roman" w:eastAsia="宋体" w:cs="Times New Roman"/>
                <w:b/>
                <w:bCs/>
                <w:i w:val="0"/>
                <w:caps w:val="0"/>
                <w:color w:val="000000"/>
                <w:spacing w:val="0"/>
                <w:kern w:val="0"/>
                <w:sz w:val="24"/>
                <w:szCs w:val="24"/>
                <w:bdr w:val="none" w:color="auto" w:sz="0" w:space="0"/>
                <w:lang w:val="en-US" w:eastAsia="zh-CN" w:bidi="ar"/>
              </w:rPr>
              <w:t>含税</w:t>
            </w:r>
          </w:p>
        </w:tc>
        <w:tc>
          <w:tcPr>
            <w:tcW w:w="600" w:type="pct"/>
            <w:vMerge w:val="continue"/>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i w:val="0"/>
                <w:caps w:val="0"/>
                <w:color w:val="000000"/>
                <w:spacing w:val="0"/>
                <w:sz w:val="24"/>
                <w:szCs w:val="24"/>
              </w:rPr>
            </w:pP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一</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i w:val="0"/>
                <w:caps w:val="0"/>
                <w:color w:val="000000"/>
                <w:spacing w:val="0"/>
                <w:sz w:val="24"/>
                <w:szCs w:val="24"/>
                <w:bdr w:val="none" w:color="auto" w:sz="0" w:space="0"/>
              </w:rPr>
              <w:t>GMP认证或达标企业</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250ml，25g（大豆油）：3g（卵磷脂）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40.55</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47.44</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48.66</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56.93</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65.5</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2</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500ml，50g（大豆油）：6g（卵磷脂）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66.67</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78.00</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80.00</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93.60</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108</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3</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500ml，50g（大豆油）：3g（卵磷脂）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64.45</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75.41</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77.34</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90.49</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104</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100ml，20g（大豆油）：1.2g(卵磷脂）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36.15</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42.30</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43.38</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50.75</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58.4</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250ml,50g(大豆油):3g(卵磷脂)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66.02</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77.24</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79.22</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92.69</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107</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100ml,30g(大豆油):1.2g(卵磷脂)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51.95</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60.78</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62.34</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72.94</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83.9</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7</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250ml,75g(大豆油):3g(卵磷脂)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101.90</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119.22</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122.28</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143.07</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165</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二</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i w:val="0"/>
                <w:caps w:val="0"/>
                <w:color w:val="000000"/>
                <w:spacing w:val="0"/>
                <w:sz w:val="24"/>
                <w:szCs w:val="24"/>
                <w:bdr w:val="none" w:color="auto" w:sz="0" w:space="0"/>
              </w:rPr>
              <w:t>非GMP认证或达标企业</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bookmarkStart w:id="0" w:name="_GoBack"/>
            <w:bookmarkEnd w:id="0"/>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1</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250ml,25g(大豆油):3g(卵磷脂)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34.0</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39.7</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40.7</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47.7</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54.8</w:t>
            </w:r>
          </w:p>
        </w:tc>
      </w:tr>
      <w:tr>
        <w:tblPrEx>
          <w:tblBorders>
            <w:top w:val="outset" w:color="3CC4BD" w:sz="12" w:space="0"/>
            <w:left w:val="outset" w:color="3CC4BD" w:sz="12" w:space="0"/>
            <w:bottom w:val="outset" w:color="3CC4BD" w:sz="12" w:space="0"/>
            <w:right w:val="outset" w:color="3CC4BD" w:sz="12" w:space="0"/>
            <w:insideH w:val="outset" w:color="3CC4BD" w:sz="12" w:space="0"/>
            <w:insideV w:val="outset" w:color="3CC4BD" w:sz="12" w:space="0"/>
          </w:tblBorders>
          <w:shd w:val="clear"/>
          <w:tblCellMar>
            <w:top w:w="30" w:type="dxa"/>
            <w:left w:w="30" w:type="dxa"/>
            <w:bottom w:w="30" w:type="dxa"/>
            <w:right w:w="30" w:type="dxa"/>
          </w:tblCellMar>
        </w:tblPrEx>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2</w:t>
            </w:r>
          </w:p>
        </w:tc>
        <w:tc>
          <w:tcPr>
            <w:tcW w:w="17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500ml,50g(大豆油):6g(卵磷脂)</w:t>
            </w:r>
          </w:p>
        </w:tc>
        <w:tc>
          <w:tcPr>
            <w:tcW w:w="2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瓶</w:t>
            </w:r>
          </w:p>
        </w:tc>
        <w:tc>
          <w:tcPr>
            <w:tcW w:w="55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55.9</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65.4</w:t>
            </w:r>
          </w:p>
        </w:tc>
        <w:tc>
          <w:tcPr>
            <w:tcW w:w="600" w:type="pct"/>
            <w:tcBorders>
              <w:top w:val="outset" w:color="3CC4BD" w:sz="6" w:space="0"/>
              <w:left w:val="outset" w:color="3CC4BD" w:sz="6" w:space="0"/>
              <w:bottom w:val="outset" w:color="3CC4BD" w:sz="6" w:space="0"/>
              <w:right w:val="outset" w:color="3CC4BD" w:sz="6" w:space="0"/>
            </w:tcBorders>
            <w:shd w:val="clear"/>
            <w:tcMar>
              <w:top w:w="75" w:type="dxa"/>
              <w:left w:w="150" w:type="dxa"/>
              <w:bottom w:w="75" w:type="dxa"/>
              <w:right w:w="150" w:type="dxa"/>
            </w:tcMar>
            <w:vAlign w:val="center"/>
          </w:tcPr>
          <w:p>
            <w:pPr>
              <w:keepNext w:val="0"/>
              <w:keepLines w:val="0"/>
              <w:widowControl/>
              <w:suppressLineNumbers w:val="0"/>
              <w:ind w:left="0" w:firstLine="0"/>
              <w:jc w:val="center"/>
              <w:rPr>
                <w:rFonts w:hint="default" w:ascii="Times New Roman" w:hAnsi="Times New Roman" w:eastAsia="宋体" w:cs="Times New Roman"/>
                <w:i w:val="0"/>
                <w:caps w:val="0"/>
                <w:color w:val="000000"/>
                <w:spacing w:val="0"/>
                <w:sz w:val="24"/>
                <w:szCs w:val="24"/>
              </w:rPr>
            </w:pPr>
            <w:r>
              <w:rPr>
                <w:rFonts w:hint="default" w:ascii="Times New Roman" w:hAnsi="Times New Roman" w:eastAsia="宋体" w:cs="Times New Roman"/>
                <w:i w:val="0"/>
                <w:caps w:val="0"/>
                <w:color w:val="000000"/>
                <w:spacing w:val="0"/>
                <w:kern w:val="0"/>
                <w:sz w:val="24"/>
                <w:szCs w:val="24"/>
                <w:bdr w:val="none" w:color="auto" w:sz="0" w:space="0"/>
                <w:lang w:val="en-US" w:eastAsia="zh-CN" w:bidi="ar"/>
              </w:rPr>
              <w:t>6</w:t>
            </w:r>
          </w:p>
        </w:tc>
        <w:tc>
          <w:tcPr>
            <w:tcW w:w="0" w:type="auto"/>
            <w:tcBorders>
              <w:top w:val="outset" w:color="3CC4BD" w:sz="6" w:space="0"/>
              <w:left w:val="nil"/>
              <w:bottom w:val="outset" w:color="3CC4BD" w:sz="6" w:space="0"/>
              <w:right w:val="outset" w:color="3CC4BD" w:sz="6" w:space="0"/>
            </w:tcBorders>
            <w:shd w:val="clear"/>
            <w:vAlign w:val="center"/>
          </w:tcPr>
          <w:p>
            <w:pPr>
              <w:jc w:val="center"/>
              <w:rPr>
                <w:rFonts w:hint="default" w:ascii="Times New Roman" w:hAnsi="Times New Roman" w:eastAsia="宋体" w:cs="Times New Roman"/>
                <w:i w:val="0"/>
                <w:caps w:val="0"/>
                <w:color w:val="000000"/>
                <w:spacing w:val="0"/>
                <w:sz w:val="24"/>
                <w:szCs w:val="24"/>
              </w:rPr>
            </w:pPr>
          </w:p>
        </w:tc>
        <w:tc>
          <w:tcPr>
            <w:tcW w:w="0" w:type="auto"/>
            <w:tcBorders>
              <w:top w:val="outset" w:color="3CC4BD" w:sz="6" w:space="0"/>
              <w:left w:val="nil"/>
              <w:bottom w:val="outset" w:color="3CC4BD" w:sz="6" w:space="0"/>
              <w:right w:val="outset" w:color="3CC4BD" w:sz="6" w:space="0"/>
            </w:tcBorders>
            <w:shd w:val="clear"/>
            <w:vAlign w:val="center"/>
          </w:tcPr>
          <w:p>
            <w:pPr>
              <w:jc w:val="center"/>
              <w:rPr>
                <w:rFonts w:hint="default" w:ascii="Times New Roman" w:hAnsi="Times New Roman" w:eastAsia="宋体" w:cs="Times New Roman"/>
                <w:i w:val="0"/>
                <w:caps w:val="0"/>
                <w:color w:val="000000"/>
                <w:spacing w:val="0"/>
                <w:sz w:val="24"/>
                <w:szCs w:val="24"/>
              </w:rPr>
            </w:pPr>
          </w:p>
        </w:tc>
      </w:tr>
    </w:tbl>
    <w:p>
      <w:pPr>
        <w:jc w:val="center"/>
        <w:rPr>
          <w:rFonts w:hint="default" w:ascii="Times New Roman" w:hAnsi="Times New Roman" w:eastAsia="宋体" w:cs="Times New Roman"/>
          <w:sz w:val="24"/>
          <w:szCs w:val="24"/>
        </w:rPr>
      </w:pPr>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sans-serif">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7F3122"/>
    <w:multiLevelType w:val="singleLevel"/>
    <w:tmpl w:val="FF7F312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E0CF4"/>
    <w:rsid w:val="6C1E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2023-02-23T20:16:00Z</dcterms:created>
  <dc:creator>水立方</dc:creator>
  <cp:lastModifiedBy>水立方</cp:lastModifiedBy>
  <dcterms:modified xsi:type="dcterms:W3CDTF">2023-02-23T20:22:56Z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