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keepNext/>
        <w:keepLines/>
        <w:widowControl w:val="0"/>
        <w:numPr>
          <w:numId w:val="0"/>
        </w:numPr>
        <w:wordWrap/>
        <w:adjustRightInd/>
        <w:snapToGrid/>
        <w:spacing w:before="0" w:after="0" w:line="560" w:lineRule="exact"/>
        <w:ind w:right="0"/>
        <w:jc w:val="left"/>
        <w:textAlignment w:val="auto"/>
        <w:outlineLvl w:val="0"/>
        <w:rPr>
          <w:rFonts w:hint="eastAsia" w:ascii="仿宋_GB2312" w:hAnsi="仿宋_GB2312" w:eastAsia="仿宋_GB2312" w:cs="仿宋_GB2312"/>
          <w:b w:val="0"/>
          <w:bCs/>
          <w:sz w:val="32"/>
          <w:szCs w:val="32"/>
          <w:lang w:eastAsia="zh-CN"/>
        </w:rPr>
      </w:pPr>
      <w:bookmarkStart w:id="0" w:name="_Toc7209"/>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2</w:t>
      </w:r>
    </w:p>
    <w:p>
      <w:pPr>
        <w:pStyle w:val="2"/>
        <w:keepNext/>
        <w:keepLines/>
        <w:widowControl w:val="0"/>
        <w:numPr>
          <w:numId w:val="0"/>
        </w:numPr>
        <w:wordWrap/>
        <w:adjustRightInd/>
        <w:snapToGrid/>
        <w:spacing w:before="0" w:after="0" w:line="640" w:lineRule="exact"/>
        <w:ind w:left="420" w:leftChars="200" w:right="0" w:firstLine="0" w:firstLineChars="0"/>
        <w:jc w:val="center"/>
        <w:textAlignment w:val="auto"/>
        <w:outlineLvl w:val="0"/>
        <w:rPr>
          <w:rFonts w:hint="eastAsia" w:ascii="方正小标宋简体" w:hAnsi="方正小标宋简体" w:eastAsia="方正小标宋简体" w:cs="方正小标宋简体"/>
          <w:b w:val="0"/>
          <w:bCs/>
          <w:sz w:val="44"/>
          <w:szCs w:val="44"/>
          <w:lang w:eastAsia="zh-CN"/>
        </w:rPr>
      </w:pPr>
      <w:bookmarkStart w:id="6" w:name="_GoBack"/>
      <w:r>
        <w:rPr>
          <w:rFonts w:hint="eastAsia" w:ascii="方正小标宋简体" w:hAnsi="方正小标宋简体" w:eastAsia="方正小标宋简体" w:cs="方正小标宋简体"/>
          <w:b w:val="0"/>
          <w:bCs/>
          <w:sz w:val="44"/>
          <w:szCs w:val="44"/>
        </w:rPr>
        <w:t>广东省节约型机关</w:t>
      </w:r>
      <w:bookmarkEnd w:id="0"/>
      <w:r>
        <w:rPr>
          <w:rFonts w:hint="eastAsia" w:ascii="方正小标宋简体" w:hAnsi="方正小标宋简体" w:eastAsia="方正小标宋简体" w:cs="方正小标宋简体"/>
          <w:b w:val="0"/>
          <w:bCs/>
          <w:sz w:val="44"/>
          <w:szCs w:val="44"/>
          <w:lang w:val="en-US" w:eastAsia="zh-CN"/>
        </w:rPr>
        <w:t>评价标准</w:t>
      </w:r>
      <w:bookmarkEnd w:id="6"/>
    </w:p>
    <w:p>
      <w:pPr>
        <w:widowControl w:val="0"/>
        <w:wordWrap/>
        <w:adjustRightInd/>
        <w:snapToGrid/>
        <w:spacing w:before="0" w:after="0" w:line="240" w:lineRule="exact"/>
        <w:ind w:left="0" w:leftChars="0" w:right="0" w:firstLine="560" w:firstLineChars="200"/>
        <w:jc w:val="center"/>
        <w:textAlignment w:val="auto"/>
        <w:outlineLvl w:val="9"/>
        <w:rPr>
          <w:rFonts w:ascii="仿宋" w:hAnsi="仿宋" w:eastAsia="仿宋"/>
          <w:b/>
          <w:color w:val="000000"/>
          <w:sz w:val="28"/>
          <w:szCs w:val="28"/>
        </w:rPr>
      </w:pPr>
    </w:p>
    <w:tbl>
      <w:tblPr>
        <w:tblW w:w="14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7"/>
        <w:gridCol w:w="1234"/>
        <w:gridCol w:w="725"/>
        <w:gridCol w:w="9405"/>
        <w:gridCol w:w="840"/>
        <w:gridCol w:w="969"/>
      </w:tblGrid>
      <w:tr>
        <w:trPr>
          <w:trHeight w:val="637" w:hRule="atLeast"/>
          <w:tblHeader/>
          <w:jc w:val="center"/>
        </w:trPr>
        <w:tc>
          <w:tcPr>
            <w:tcW w:w="1687" w:type="dxa"/>
            <w:tcMar>
              <w:top w:w="0" w:type="dxa"/>
              <w:left w:w="0" w:type="dxa"/>
              <w:bottom w:w="0" w:type="dxa"/>
              <w:right w:w="0" w:type="dxa"/>
            </w:tcMar>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单  元</w:t>
            </w:r>
          </w:p>
        </w:tc>
        <w:tc>
          <w:tcPr>
            <w:tcW w:w="1234" w:type="dxa"/>
            <w:tcMar>
              <w:top w:w="0" w:type="dxa"/>
              <w:left w:w="0" w:type="dxa"/>
              <w:bottom w:w="0" w:type="dxa"/>
              <w:right w:w="0" w:type="dxa"/>
            </w:tcMar>
            <w:vAlign w:val="center"/>
          </w:tcPr>
          <w:p>
            <w:pPr>
              <w:pStyle w:val="6"/>
              <w:ind w:firstLine="0" w:firstLineChars="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  目</w:t>
            </w:r>
          </w:p>
        </w:tc>
        <w:tc>
          <w:tcPr>
            <w:tcW w:w="725" w:type="dxa"/>
            <w:tcMar>
              <w:top w:w="0" w:type="dxa"/>
              <w:left w:w="0" w:type="dxa"/>
              <w:bottom w:w="0" w:type="dxa"/>
              <w:right w:w="0" w:type="dxa"/>
            </w:tcMar>
            <w:vAlign w:val="center"/>
          </w:tcPr>
          <w:p>
            <w:pPr>
              <w:pStyle w:val="6"/>
              <w:ind w:firstLine="0" w:firstLineChars="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9405" w:type="dxa"/>
            <w:tcMar>
              <w:top w:w="0" w:type="dxa"/>
              <w:left w:w="0" w:type="dxa"/>
              <w:bottom w:w="0" w:type="dxa"/>
              <w:right w:w="0" w:type="dxa"/>
            </w:tcMar>
            <w:vAlign w:val="center"/>
          </w:tcPr>
          <w:p>
            <w:pPr>
              <w:pStyle w:val="6"/>
              <w:ind w:firstLine="0" w:firstLineChars="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  价  标  准</w:t>
            </w:r>
          </w:p>
        </w:tc>
        <w:tc>
          <w:tcPr>
            <w:tcW w:w="840" w:type="dxa"/>
            <w:tcMar>
              <w:top w:w="0" w:type="dxa"/>
              <w:left w:w="0" w:type="dxa"/>
              <w:bottom w:w="0" w:type="dxa"/>
              <w:right w:w="0" w:type="dxa"/>
            </w:tcMar>
            <w:vAlign w:val="center"/>
          </w:tcPr>
          <w:p>
            <w:pPr>
              <w:pStyle w:val="6"/>
              <w:ind w:firstLine="0" w:firstLineChars="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分值</w:t>
            </w:r>
          </w:p>
        </w:tc>
        <w:tc>
          <w:tcPr>
            <w:tcW w:w="969" w:type="dxa"/>
            <w:tcMar>
              <w:top w:w="0" w:type="dxa"/>
              <w:left w:w="0" w:type="dxa"/>
              <w:bottom w:w="0" w:type="dxa"/>
              <w:right w:w="0" w:type="dxa"/>
            </w:tcMar>
            <w:vAlign w:val="center"/>
          </w:tcPr>
          <w:p>
            <w:pPr>
              <w:pStyle w:val="6"/>
              <w:ind w:firstLine="0" w:firstLineChars="0"/>
              <w:jc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备</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lang w:eastAsia="zh-CN"/>
              </w:rPr>
              <w:t>注</w:t>
            </w:r>
          </w:p>
        </w:tc>
      </w:tr>
      <w:tr>
        <w:trPr>
          <w:trHeight w:val="884" w:hRule="atLeast"/>
          <w:jc w:val="center"/>
        </w:trPr>
        <w:tc>
          <w:tcPr>
            <w:tcW w:w="1687"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bookmarkStart w:id="1" w:name="_Hlk57226257"/>
            <w:r>
              <w:rPr>
                <w:rFonts w:ascii="仿宋" w:hAnsi="仿宋" w:eastAsia="仿宋"/>
                <w:color w:val="000000"/>
                <w:sz w:val="24"/>
                <w:szCs w:val="24"/>
              </w:rPr>
              <w:t>强化目标管理</w:t>
            </w:r>
            <w:bookmarkEnd w:id="1"/>
          </w:p>
        </w:tc>
        <w:tc>
          <w:tcPr>
            <w:tcW w:w="1234"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节约能源资源目标管理</w:t>
            </w: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1</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【必须完成项】上年度完成公共机构单位建筑面积能源消耗、人均能源消耗、人均水资源消耗年度进度指标，或按照定额管理的单位完成定额目标。</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完成/</w:t>
            </w:r>
          </w:p>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未完成</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499" w:hRule="atLeast"/>
          <w:jc w:val="center"/>
        </w:trPr>
        <w:tc>
          <w:tcPr>
            <w:tcW w:w="1687" w:type="dxa"/>
            <w:vMerge w:val="restart"/>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完善制度体系</w:t>
            </w:r>
          </w:p>
          <w:p>
            <w:pPr>
              <w:jc w:val="center"/>
              <w:rPr>
                <w:rFonts w:ascii="仿宋" w:hAnsi="仿宋" w:eastAsia="仿宋"/>
                <w:color w:val="000000"/>
                <w:sz w:val="24"/>
                <w:szCs w:val="24"/>
              </w:rPr>
            </w:pPr>
            <w:r>
              <w:rPr>
                <w:rFonts w:ascii="仿宋" w:hAnsi="仿宋" w:eastAsia="仿宋"/>
                <w:color w:val="000000"/>
                <w:sz w:val="24"/>
                <w:szCs w:val="24"/>
              </w:rPr>
              <w:t>（25分）</w:t>
            </w:r>
          </w:p>
        </w:tc>
        <w:tc>
          <w:tcPr>
            <w:tcW w:w="1234" w:type="dxa"/>
            <w:vMerge w:val="restart"/>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管理机构（5分）</w:t>
            </w: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2</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明确负责节约能源资源工作的管理机构和工作职责，得3分。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3分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461" w:hRule="atLeast"/>
          <w:jc w:val="center"/>
        </w:trPr>
        <w:tc>
          <w:tcPr>
            <w:tcW w:w="1687" w:type="dxa"/>
            <w:vMerge w:val="continue"/>
            <w:shd w:val="clear" w:color="auto" w:fill="FFFFFF"/>
            <w:tcMar>
              <w:top w:w="0" w:type="dxa"/>
              <w:left w:w="0" w:type="dxa"/>
              <w:bottom w:w="0" w:type="dxa"/>
              <w:right w:w="0" w:type="dxa"/>
            </w:tcMar>
            <w:vAlign w:val="center"/>
          </w:tcPr>
          <w:p>
            <w:pPr>
              <w:rPr>
                <w:rFonts w:ascii="仿宋" w:hAnsi="仿宋" w:eastAsia="仿宋"/>
                <w:color w:val="000000"/>
                <w:sz w:val="24"/>
                <w:szCs w:val="24"/>
              </w:rPr>
            </w:pPr>
          </w:p>
        </w:tc>
        <w:tc>
          <w:tcPr>
            <w:tcW w:w="1234" w:type="dxa"/>
            <w:vMerge w:val="continue"/>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3</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设置能源资源管理岗位，明确专人负责，得2分。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485"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rPr>
                <w:rFonts w:ascii="仿宋" w:hAnsi="仿宋" w:eastAsia="仿宋" w:cs="Times New Roman"/>
                <w:color w:val="000000"/>
                <w:sz w:val="24"/>
                <w:szCs w:val="24"/>
              </w:rPr>
            </w:pPr>
          </w:p>
        </w:tc>
        <w:tc>
          <w:tcPr>
            <w:tcW w:w="1234" w:type="dxa"/>
            <w:vMerge w:val="restart"/>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管理制度（20分）</w:t>
            </w: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4</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制定年度节约能源资源实施方案，并明确年度节约能源资源目标，得2分。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901"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5</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制定能源资源消费统计、定额管理、节能、节水、生活垃圾分类、绿色消费以及用能设备设施节能操作规程等节约能源资源的管理制度。每制定1项得1分，累计最高得6分。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6分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613"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6</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通过规章制度或合同约定，对物业管理提出能源资源节约管理目标和服务要求，得2分。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674"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7</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按照《公共机构能源资源计量器具配备和管理要求》（GB/T 29149-2012)，实行能源资源分户、分区、分项计量。每完成1项得1分，累计最高得3分。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3分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475"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rPr>
                <w:rFonts w:ascii="仿宋" w:hAnsi="仿宋" w:eastAsia="仿宋" w:cs="Times New Roman"/>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rPr>
                <w:rFonts w:ascii="仿宋" w:hAnsi="仿宋" w:eastAsia="仿宋" w:cs="Times New Roman"/>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8</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建立能源资源计量器具台账，得2分。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613"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rPr>
                <w:rFonts w:ascii="仿宋" w:hAnsi="仿宋" w:eastAsia="仿宋" w:cs="Times New Roman"/>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9</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bookmarkStart w:id="2" w:name="_Hlk57389393"/>
            <w:r>
              <w:rPr>
                <w:rFonts w:ascii="仿宋" w:hAnsi="仿宋" w:eastAsia="仿宋" w:cs="Times New Roman"/>
                <w:color w:val="000000"/>
                <w:sz w:val="24"/>
                <w:szCs w:val="24"/>
              </w:rPr>
              <w:t>按照《公共机构能源资源消费统计调查制度》要求</w:t>
            </w:r>
            <w:bookmarkEnd w:id="2"/>
            <w:r>
              <w:rPr>
                <w:rFonts w:ascii="仿宋" w:hAnsi="仿宋" w:eastAsia="仿宋" w:cs="Times New Roman"/>
                <w:color w:val="000000"/>
                <w:sz w:val="24"/>
                <w:szCs w:val="24"/>
              </w:rPr>
              <w:t>，建立能源资源消费统计台账，得2分。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r>
      <w:tr>
        <w:trPr>
          <w:trHeight w:val="456"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rPr>
                <w:rFonts w:ascii="仿宋" w:hAnsi="仿宋" w:eastAsia="仿宋" w:cs="Times New Roman"/>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10</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定期报送、分析和公示能源资源消费状况。每落实1项得1分，累计最高得3分。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3分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r>
      <w:tr>
        <w:trPr>
          <w:trHeight w:val="370" w:hRule="atLeast"/>
          <w:jc w:val="center"/>
        </w:trPr>
        <w:tc>
          <w:tcPr>
            <w:tcW w:w="1687" w:type="dxa"/>
            <w:vMerge w:val="restart"/>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推行绿色办公</w:t>
            </w:r>
          </w:p>
          <w:p>
            <w:pPr>
              <w:jc w:val="center"/>
              <w:rPr>
                <w:rFonts w:ascii="仿宋" w:hAnsi="仿宋" w:eastAsia="仿宋"/>
                <w:color w:val="000000"/>
                <w:sz w:val="24"/>
                <w:szCs w:val="24"/>
              </w:rPr>
            </w:pPr>
            <w:r>
              <w:rPr>
                <w:rFonts w:ascii="仿宋" w:hAnsi="仿宋" w:eastAsia="仿宋"/>
                <w:color w:val="000000"/>
                <w:sz w:val="24"/>
                <w:szCs w:val="24"/>
              </w:rPr>
              <w:t>（25分）</w:t>
            </w:r>
          </w:p>
        </w:tc>
        <w:tc>
          <w:tcPr>
            <w:tcW w:w="1234" w:type="dxa"/>
            <w:vMerge w:val="restart"/>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bookmarkStart w:id="3" w:name="_Hlk57389880"/>
            <w:r>
              <w:rPr>
                <w:rFonts w:ascii="仿宋" w:hAnsi="仿宋" w:eastAsia="仿宋"/>
                <w:color w:val="000000"/>
                <w:sz w:val="24"/>
                <w:szCs w:val="24"/>
              </w:rPr>
              <w:t>行为节约</w:t>
            </w:r>
            <w:bookmarkEnd w:id="3"/>
          </w:p>
          <w:p>
            <w:pPr>
              <w:jc w:val="center"/>
              <w:rPr>
                <w:rFonts w:ascii="仿宋" w:hAnsi="仿宋" w:eastAsia="仿宋"/>
                <w:color w:val="000000"/>
                <w:sz w:val="24"/>
                <w:szCs w:val="24"/>
              </w:rPr>
            </w:pPr>
            <w:r>
              <w:rPr>
                <w:rFonts w:ascii="仿宋" w:hAnsi="仿宋" w:eastAsia="仿宋"/>
                <w:color w:val="000000"/>
                <w:sz w:val="24"/>
                <w:szCs w:val="24"/>
              </w:rPr>
              <w:t>（11分）</w:t>
            </w: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11</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jc w:val="both"/>
              <w:rPr>
                <w:rFonts w:ascii="仿宋" w:hAnsi="仿宋" w:eastAsia="仿宋" w:cs="Times New Roman"/>
                <w:color w:val="000000"/>
                <w:sz w:val="24"/>
                <w:szCs w:val="24"/>
              </w:rPr>
            </w:pPr>
            <w:r>
              <w:rPr>
                <w:rFonts w:ascii="仿宋" w:hAnsi="仿宋" w:eastAsia="仿宋" w:cs="Times New Roman"/>
                <w:color w:val="000000"/>
                <w:sz w:val="24"/>
                <w:szCs w:val="24"/>
              </w:rPr>
              <w:t>制定并实施了无纸化办公制度，得2分。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370"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12</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bookmarkStart w:id="4" w:name="_Hlk57389444"/>
            <w:r>
              <w:rPr>
                <w:rFonts w:ascii="仿宋" w:hAnsi="仿宋" w:eastAsia="仿宋" w:cs="Times New Roman"/>
                <w:color w:val="000000"/>
                <w:sz w:val="24"/>
                <w:szCs w:val="24"/>
              </w:rPr>
              <w:t>高效照明光源使用率达到100%</w:t>
            </w:r>
            <w:bookmarkEnd w:id="4"/>
            <w:r>
              <w:rPr>
                <w:rFonts w:ascii="仿宋" w:hAnsi="仿宋" w:eastAsia="仿宋" w:cs="Times New Roman"/>
                <w:color w:val="000000"/>
                <w:sz w:val="24"/>
                <w:szCs w:val="24"/>
              </w:rPr>
              <w:t>，得2分。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613"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13</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执行夏季室内空调温度设置不得低于26摄氏度，冬季室内空调温度设置不得高于20摄氏度的空调温度控制标准。落实1项得1分，累计最高得2分。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402"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14</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jc w:val="both"/>
              <w:rPr>
                <w:rFonts w:ascii="仿宋" w:hAnsi="仿宋" w:eastAsia="仿宋" w:cs="Times New Roman"/>
                <w:color w:val="000000"/>
                <w:sz w:val="24"/>
                <w:szCs w:val="24"/>
              </w:rPr>
            </w:pPr>
            <w:r>
              <w:rPr>
                <w:rFonts w:ascii="仿宋" w:hAnsi="仿宋" w:eastAsia="仿宋" w:cs="Times New Roman"/>
                <w:color w:val="000000"/>
                <w:sz w:val="24"/>
                <w:szCs w:val="24"/>
              </w:rPr>
              <w:t>使用节水型器具，得2分。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370"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15</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采取了有效节水管理措施，得3分。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3分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370"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1234" w:type="dxa"/>
            <w:vMerge w:val="restart"/>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绿色出行</w:t>
            </w:r>
          </w:p>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（6分）</w:t>
            </w: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16</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鼓励干部职工践行“135”等低碳出行方式，得2分。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370"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17</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实行公务用车单车油耗核算，得4分。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4分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613"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1234" w:type="dxa"/>
            <w:vMerge w:val="restart"/>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绿色采购</w:t>
            </w:r>
          </w:p>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（8分）</w:t>
            </w: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18</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加大绿色采购力度，带头采购节能、节水、环保、再生、资源综合利用等绿色产品。采购1类绿色产品得1分，累计最高得4分。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4分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613"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19</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更新公务用车优先采购新能源汽车，得4分，若近一年更新的公务用车中无新能源汽车，该项不得分。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4分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default" w:ascii="仿宋" w:hAnsi="仿宋" w:eastAsia="仿宋" w:cs="Times New Roman"/>
                <w:color w:val="000000"/>
                <w:sz w:val="24"/>
                <w:szCs w:val="24"/>
                <w:lang w:val="en-US" w:eastAsia="zh-CN"/>
              </w:rPr>
            </w:pPr>
          </w:p>
        </w:tc>
      </w:tr>
      <w:tr>
        <w:trPr>
          <w:trHeight w:val="408" w:hRule="atLeast"/>
          <w:jc w:val="center"/>
        </w:trPr>
        <w:tc>
          <w:tcPr>
            <w:tcW w:w="1687" w:type="dxa"/>
            <w:vMerge w:val="restart"/>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实行生活垃圾分类</w:t>
            </w:r>
          </w:p>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（25分）</w:t>
            </w:r>
          </w:p>
        </w:tc>
        <w:tc>
          <w:tcPr>
            <w:tcW w:w="1234" w:type="dxa"/>
            <w:vMerge w:val="restart"/>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源头减量</w:t>
            </w:r>
          </w:p>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（9分）</w:t>
            </w: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20</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采取节约粮食等源头减量化措施，开展“光盘行动”等活动，得2分。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370"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21</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使用再生纸、再生耗材等再生办公用品，得2分。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370"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22</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限制使用一次性办公用品，得2分。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370"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23</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停止使用不可降解一次性塑料制品，得3分。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3分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408"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1234" w:type="dxa"/>
            <w:vMerge w:val="restart"/>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分类投放</w:t>
            </w:r>
          </w:p>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（6分）</w:t>
            </w: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24</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按生活垃圾分类标准合理配置垃圾分类容器设施或统一存放空间，得2分。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370"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25</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垃圾集中投放点张贴垃圾分类投放指南，得2分。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373"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26</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干部职工正确分类投放生活垃圾，得2分。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r>
      <w:tr>
        <w:trPr>
          <w:trHeight w:val="408"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1234" w:type="dxa"/>
            <w:vMerge w:val="restart"/>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分类收运</w:t>
            </w:r>
          </w:p>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（10分）</w:t>
            </w: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27</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有害垃圾单独存放，与具备处理资质的企业签订收运处置协议，得2分。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408"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28</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可回收物统一回收，与具备回收资质的企业签订收运处置协议，得2分。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408"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29</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餐厨垃圾按国家及属地要求规范处置，得2分。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408"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30</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jc w:val="both"/>
              <w:rPr>
                <w:rFonts w:ascii="仿宋" w:hAnsi="仿宋" w:eastAsia="仿宋" w:cs="Times New Roman"/>
                <w:color w:val="000000"/>
                <w:sz w:val="24"/>
                <w:szCs w:val="24"/>
              </w:rPr>
            </w:pPr>
            <w:r>
              <w:rPr>
                <w:rFonts w:ascii="仿宋" w:hAnsi="仿宋" w:eastAsia="仿宋" w:cs="Times New Roman"/>
                <w:color w:val="000000"/>
                <w:sz w:val="24"/>
                <w:szCs w:val="24"/>
              </w:rPr>
              <w:t>建立垃圾分类清运台帐，得2分。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408"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31</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jc w:val="both"/>
              <w:rPr>
                <w:rFonts w:ascii="仿宋" w:hAnsi="仿宋" w:eastAsia="仿宋" w:cs="Times New Roman"/>
                <w:color w:val="000000"/>
                <w:sz w:val="24"/>
                <w:szCs w:val="24"/>
              </w:rPr>
            </w:pPr>
            <w:r>
              <w:rPr>
                <w:rFonts w:ascii="仿宋" w:hAnsi="仿宋" w:eastAsia="仿宋" w:cs="Times New Roman"/>
                <w:color w:val="000000"/>
                <w:sz w:val="24"/>
                <w:szCs w:val="24"/>
              </w:rPr>
              <w:t>定期公示垃圾清运量，得2分。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613" w:hRule="atLeast"/>
          <w:jc w:val="center"/>
        </w:trPr>
        <w:tc>
          <w:tcPr>
            <w:tcW w:w="1687" w:type="dxa"/>
            <w:vMerge w:val="restart"/>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开展宣传教育</w:t>
            </w:r>
          </w:p>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（25分）</w:t>
            </w:r>
          </w:p>
        </w:tc>
        <w:tc>
          <w:tcPr>
            <w:tcW w:w="1234" w:type="dxa"/>
            <w:vMerge w:val="restart"/>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宣传实践</w:t>
            </w:r>
          </w:p>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（13分）</w:t>
            </w: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32</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结合全国节能宣传周、全国低碳日、世界水日、中国水周等活动，组织开展形式多样的宣传实践活动。每开展1项得2分，最高得8分。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8分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613"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33</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张贴设备节电、随手关灯、节约用水、减少使用电梯、空调温度设定、垃圾分类投放等提醒标识。每处得0.5分，最高得2分。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2分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613"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34</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在新闻媒体或主管部门宣传平台报道本单位节约能源资源经验做法。每次得1分，最高得3分。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3分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506"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bookmarkStart w:id="5" w:name="_Hlk57390288"/>
          </w:p>
        </w:tc>
        <w:tc>
          <w:tcPr>
            <w:tcW w:w="1234" w:type="dxa"/>
            <w:vMerge w:val="restart"/>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教育培训</w:t>
            </w:r>
          </w:p>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（12分）</w:t>
            </w: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35</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将节能、节水、垃圾分类等内容纳入干部职工培训体系，得4分。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4分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bookmarkEnd w:id="5"/>
          </w:p>
        </w:tc>
      </w:tr>
      <w:tr>
        <w:trPr>
          <w:trHeight w:val="613" w:hRule="atLeast"/>
          <w:jc w:val="center"/>
        </w:trPr>
        <w:tc>
          <w:tcPr>
            <w:tcW w:w="1687"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1234" w:type="dxa"/>
            <w:vMerge w:val="continue"/>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p>
        </w:tc>
        <w:tc>
          <w:tcPr>
            <w:tcW w:w="725" w:type="dxa"/>
            <w:shd w:val="clear" w:color="auto" w:fill="FFFFFF"/>
            <w:tcMar>
              <w:top w:w="0" w:type="dxa"/>
              <w:left w:w="0" w:type="dxa"/>
              <w:bottom w:w="0" w:type="dxa"/>
              <w:right w:w="0" w:type="dxa"/>
            </w:tcMar>
            <w:vAlign w:val="center"/>
          </w:tcPr>
          <w:p>
            <w:pPr>
              <w:jc w:val="center"/>
              <w:rPr>
                <w:rFonts w:ascii="仿宋" w:hAnsi="仿宋" w:eastAsia="仿宋"/>
                <w:color w:val="000000"/>
                <w:sz w:val="24"/>
                <w:szCs w:val="24"/>
              </w:rPr>
            </w:pPr>
            <w:r>
              <w:rPr>
                <w:rFonts w:ascii="仿宋" w:hAnsi="仿宋" w:eastAsia="仿宋"/>
                <w:color w:val="000000"/>
                <w:sz w:val="24"/>
                <w:szCs w:val="24"/>
              </w:rPr>
              <w:t>36</w:t>
            </w:r>
          </w:p>
        </w:tc>
        <w:tc>
          <w:tcPr>
            <w:tcW w:w="9405" w:type="dxa"/>
            <w:shd w:val="clear" w:color="auto" w:fill="FFFFFF"/>
            <w:tcMar>
              <w:top w:w="0" w:type="dxa"/>
              <w:left w:w="0" w:type="dxa"/>
              <w:bottom w:w="0" w:type="dxa"/>
              <w:right w:w="0" w:type="dxa"/>
            </w:tcMar>
            <w:vAlign w:val="center"/>
          </w:tcPr>
          <w:p>
            <w:pPr>
              <w:pStyle w:val="6"/>
              <w:widowControl w:val="0"/>
              <w:ind w:left="216" w:leftChars="103" w:right="241" w:rightChars="115" w:hanging="2" w:firstLineChars="0"/>
              <w:rPr>
                <w:rFonts w:ascii="仿宋" w:hAnsi="仿宋" w:eastAsia="仿宋" w:cs="Times New Roman"/>
                <w:color w:val="000000"/>
                <w:sz w:val="24"/>
                <w:szCs w:val="24"/>
              </w:rPr>
            </w:pPr>
            <w:r>
              <w:rPr>
                <w:rFonts w:ascii="仿宋" w:hAnsi="仿宋" w:eastAsia="仿宋" w:cs="Times New Roman"/>
                <w:color w:val="000000"/>
                <w:sz w:val="24"/>
                <w:szCs w:val="24"/>
              </w:rPr>
              <w:t>定期举办面向干部职工的节能低碳等生态文明建设知识讲座、岗位培训等教育培训活动。每次得2分，最高得8分。</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8分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eastAsia" w:ascii="仿宋" w:hAnsi="仿宋" w:eastAsia="仿宋" w:cs="Times New Roman"/>
                <w:color w:val="000000"/>
                <w:sz w:val="24"/>
                <w:szCs w:val="24"/>
                <w:lang w:val="en-US" w:eastAsia="zh-CN"/>
              </w:rPr>
            </w:pPr>
          </w:p>
        </w:tc>
      </w:tr>
      <w:tr>
        <w:trPr>
          <w:trHeight w:val="596" w:hRule="atLeast"/>
          <w:jc w:val="center"/>
        </w:trPr>
        <w:tc>
          <w:tcPr>
            <w:tcW w:w="13051" w:type="dxa"/>
            <w:gridSpan w:val="4"/>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合计</w:t>
            </w:r>
          </w:p>
        </w:tc>
        <w:tc>
          <w:tcPr>
            <w:tcW w:w="840" w:type="dxa"/>
            <w:shd w:val="clear" w:color="auto" w:fill="FFFFFF"/>
            <w:tcMar>
              <w:top w:w="0" w:type="dxa"/>
              <w:left w:w="0" w:type="dxa"/>
              <w:bottom w:w="0" w:type="dxa"/>
              <w:right w:w="0" w:type="dxa"/>
            </w:tcMar>
            <w:vAlign w:val="center"/>
          </w:tcPr>
          <w:p>
            <w:pPr>
              <w:pStyle w:val="6"/>
              <w:widowControl w:val="0"/>
              <w:ind w:firstLine="0" w:firstLineChars="0"/>
              <w:jc w:val="center"/>
              <w:rPr>
                <w:rFonts w:ascii="仿宋" w:hAnsi="仿宋" w:eastAsia="仿宋" w:cs="Times New Roman"/>
                <w:color w:val="000000"/>
                <w:sz w:val="24"/>
                <w:szCs w:val="24"/>
              </w:rPr>
            </w:pPr>
            <w:r>
              <w:rPr>
                <w:rFonts w:ascii="仿宋" w:hAnsi="仿宋" w:eastAsia="仿宋" w:cs="Times New Roman"/>
                <w:color w:val="000000"/>
                <w:sz w:val="24"/>
                <w:szCs w:val="24"/>
              </w:rPr>
              <w:t>100分</w:t>
            </w:r>
          </w:p>
        </w:tc>
        <w:tc>
          <w:tcPr>
            <w:tcW w:w="969" w:type="dxa"/>
            <w:shd w:val="clear" w:color="auto" w:fill="FFFFFF"/>
            <w:tcMar>
              <w:top w:w="0" w:type="dxa"/>
              <w:left w:w="0" w:type="dxa"/>
              <w:bottom w:w="0" w:type="dxa"/>
              <w:right w:w="0" w:type="dxa"/>
            </w:tcMar>
            <w:vAlign w:val="center"/>
          </w:tcPr>
          <w:p>
            <w:pPr>
              <w:pStyle w:val="6"/>
              <w:widowControl w:val="0"/>
              <w:ind w:firstLine="0" w:firstLineChars="0"/>
              <w:jc w:val="center"/>
              <w:rPr>
                <w:rFonts w:hint="default" w:ascii="仿宋" w:hAnsi="仿宋" w:eastAsia="仿宋" w:cs="Times New Roman"/>
                <w:color w:val="000000"/>
                <w:sz w:val="24"/>
                <w:szCs w:val="24"/>
                <w:lang w:val="en-US" w:eastAsia="zh-CN"/>
              </w:rPr>
            </w:pPr>
          </w:p>
        </w:tc>
      </w:tr>
    </w:tbl>
    <w:p>
      <w:pPr>
        <w:widowControl w:val="0"/>
        <w:wordWrap/>
        <w:adjustRightInd/>
        <w:snapToGrid/>
        <w:spacing w:before="0" w:after="0" w:line="420" w:lineRule="exact"/>
        <w:ind w:left="1072" w:leftChars="0" w:right="0" w:hanging="1072" w:hangingChars="383"/>
        <w:jc w:val="both"/>
        <w:textAlignment w:val="auto"/>
        <w:outlineLvl w:val="9"/>
        <w:rPr>
          <w:rFonts w:hint="eastAsia" w:ascii="楷体_GB2312" w:hAnsi="楷体_GB2312" w:eastAsia="楷体_GB2312" w:cs="楷体_GB2312"/>
          <w:spacing w:val="-2"/>
          <w:sz w:val="24"/>
          <w:szCs w:val="24"/>
        </w:rPr>
      </w:pPr>
      <w:r>
        <w:rPr>
          <w:rFonts w:hint="eastAsia" w:ascii="楷体_GB2312" w:hAnsi="楷体_GB2312" w:eastAsia="楷体_GB2312" w:cs="楷体_GB2312"/>
          <w:sz w:val="24"/>
          <w:szCs w:val="24"/>
        </w:rPr>
        <w:t>备注：1.本标准按照国管局《节约型机关行动方案》评价指标要素要求制定，</w:t>
      </w:r>
      <w:r>
        <w:rPr>
          <w:rFonts w:hint="eastAsia" w:ascii="楷体_GB2312" w:hAnsi="楷体_GB2312" w:eastAsia="楷体_GB2312" w:cs="楷体_GB2312"/>
          <w:spacing w:val="-2"/>
          <w:sz w:val="24"/>
          <w:szCs w:val="24"/>
        </w:rPr>
        <w:t>满分100分。其中第一项为必须完成项，完成第一项且得分85分（含）以上，可获得“节约型机关”称号。</w:t>
      </w:r>
    </w:p>
    <w:p>
      <w:pPr>
        <w:widowControl w:val="0"/>
        <w:tabs>
          <w:tab w:val="left" w:pos="840"/>
        </w:tabs>
        <w:wordWrap/>
        <w:adjustRightInd/>
        <w:snapToGrid/>
        <w:spacing w:before="0" w:after="0" w:line="420" w:lineRule="exact"/>
        <w:ind w:left="845" w:leftChars="303" w:right="0" w:hanging="211" w:hangingChars="88"/>
        <w:jc w:val="both"/>
        <w:textAlignment w:val="auto"/>
        <w:outlineLvl w:val="9"/>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w:t>
      </w:r>
      <w:r>
        <w:rPr>
          <w:rFonts w:hint="eastAsia" w:ascii="楷体_GB2312" w:hAnsi="楷体_GB2312" w:eastAsia="楷体_GB2312" w:cs="楷体_GB2312"/>
          <w:spacing w:val="-2"/>
          <w:sz w:val="24"/>
          <w:szCs w:val="24"/>
        </w:rPr>
        <w:t>集中办公的党政机关，能源资源消耗可以单独计量的，由各单位分别创建；能源资源消耗无法单独计量的，由合署办公区牵头单位集中创建。对于评价要素由其他牵头单位具体负责的党政机关，该要素得分由牵头单位提供。</w:t>
      </w:r>
    </w:p>
    <w:sectPr>
      <w:pgSz w:w="16838" w:h="11906" w:orient="landscape"/>
      <w:pgMar w:top="1800" w:right="1440" w:bottom="1800"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pPr>
      <w:keepNext/>
      <w:keepLines/>
      <w:spacing w:before="340" w:after="330" w:line="576" w:lineRule="auto"/>
      <w:outlineLvl w:val="0"/>
    </w:pPr>
    <w:rPr>
      <w:b/>
      <w:kern w:val="44"/>
      <w:sz w:val="36"/>
    </w:rPr>
  </w:style>
  <w:style w:type="character" w:default="1" w:styleId="4">
    <w:name w:val="Default Paragraph Font"/>
  </w:style>
  <w:style w:type="paragraph" w:styleId="3">
    <w:name w:val="footer"/>
    <w:basedOn w:val="1"/>
    <w:pPr>
      <w:tabs>
        <w:tab w:val="center" w:pos="4153"/>
        <w:tab w:val="right" w:pos="8306"/>
      </w:tabs>
      <w:snapToGrid w:val="0"/>
      <w:jc w:val="left"/>
    </w:pPr>
    <w:rPr>
      <w:sz w:val="18"/>
    </w:rPr>
  </w:style>
  <w:style w:type="paragraph" w:customStyle="1" w:styleId="5">
    <w:name w:val="节约型正文2级"/>
    <w:basedOn w:val="1"/>
    <w:next w:val="1"/>
    <w:pPr>
      <w:keepNext/>
      <w:keepLines/>
      <w:widowControl/>
      <w:ind w:firstLine="643" w:firstLineChars="200"/>
      <w:jc w:val="left"/>
      <w:outlineLvl w:val="1"/>
    </w:pPr>
    <w:rPr>
      <w:rFonts w:ascii="仿宋" w:hAnsi="仿宋" w:eastAsia="仿宋"/>
      <w:b/>
      <w:sz w:val="32"/>
    </w:rPr>
  </w:style>
  <w:style w:type="paragraph" w:customStyle="1" w:styleId="6">
    <w:name w:val="列表段落1"/>
    <w:basedOn w:val="1"/>
    <w:pPr>
      <w:widowControl/>
      <w:ind w:firstLine="420" w:firstLineChars="200"/>
      <w:jc w:val="left"/>
    </w:pPr>
    <w:rPr>
      <w:rFonts w:cs="Calibri"/>
      <w:kern w:val="0"/>
      <w:sz w:val="20"/>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1677</Words>
  <Characters>1742</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2021-11-15T10:31:00Z</dcterms:created>
  <dc:creator>lhj</dc:creator>
  <dcterms:modified xsi:type="dcterms:W3CDTF">2022-10-26T12:09:19Z</dcterms:modified>
  <dc:title>立军</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F370AF237E214BF4BD64C374567E3552</vt:lpwstr>
  </property>
</Properties>
</file>