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firstLine="0" w:firstLineChars="0"/>
        <w:rPr>
          <w:rFonts w:hint="eastAsia" w:eastAsia="方正黑体_GBK"/>
          <w:sz w:val="32"/>
          <w:szCs w:val="32"/>
          <w:lang w:val="en-US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  <w:lang w:val="en-US" w:eastAsia="zh-CN"/>
        </w:rPr>
        <w:t>2-1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  <w:lang w:eastAsia="zh-CN"/>
        </w:rPr>
        <w:t>保障性安居工程</w:t>
      </w:r>
      <w:r>
        <w:rPr>
          <w:rFonts w:hint="eastAsia" w:ascii="方正小标宋_GBK" w:eastAsia="方正小标宋_GBK"/>
          <w:sz w:val="40"/>
          <w:szCs w:val="40"/>
        </w:rPr>
        <w:t>20</w:t>
      </w:r>
      <w:r>
        <w:rPr>
          <w:rFonts w:hint="eastAsia" w:ascii="方正小标宋_GBK" w:eastAsia="方正小标宋_GBK"/>
          <w:sz w:val="40"/>
          <w:szCs w:val="40"/>
          <w:lang w:val="en-US" w:eastAsia="zh-CN"/>
        </w:rPr>
        <w:t>22</w:t>
      </w:r>
      <w:r>
        <w:rPr>
          <w:rFonts w:hint="eastAsia" w:ascii="方正小标宋_GBK" w:eastAsia="方正小标宋_GBK"/>
          <w:sz w:val="40"/>
          <w:szCs w:val="40"/>
        </w:rPr>
        <w:t>年</w:t>
      </w:r>
      <w:r>
        <w:rPr>
          <w:rFonts w:hint="eastAsia" w:ascii="方正小标宋_GBK" w:eastAsia="方正小标宋_GBK"/>
          <w:sz w:val="40"/>
          <w:szCs w:val="40"/>
          <w:lang w:eastAsia="zh-CN"/>
        </w:rPr>
        <w:t>第一批</w:t>
      </w:r>
      <w:r>
        <w:rPr>
          <w:rFonts w:hint="eastAsia" w:ascii="方正小标宋_GBK" w:eastAsia="方正小标宋_GBK"/>
          <w:sz w:val="40"/>
          <w:szCs w:val="40"/>
        </w:rPr>
        <w:t>中央预算内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投资</w:t>
      </w:r>
      <w:r>
        <w:rPr>
          <w:rFonts w:hint="eastAsia" w:ascii="方正小标宋_GBK" w:eastAsia="方正小标宋_GBK"/>
          <w:sz w:val="40"/>
          <w:szCs w:val="40"/>
          <w:lang w:eastAsia="zh-CN"/>
        </w:rPr>
        <w:t>计划</w:t>
      </w:r>
      <w:r>
        <w:rPr>
          <w:rFonts w:hint="eastAsia" w:ascii="方正小标宋_GBK" w:eastAsia="方正小标宋_GBK"/>
          <w:sz w:val="40"/>
          <w:szCs w:val="40"/>
        </w:rPr>
        <w:t>绩效目标表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36"/>
          <w:szCs w:val="36"/>
          <w:lang w:eastAsia="zh-CN"/>
        </w:rPr>
      </w:pPr>
      <w:r>
        <w:rPr>
          <w:rFonts w:hint="eastAsia" w:ascii="方正小标宋_GBK" w:eastAsia="方正小标宋_GBK"/>
          <w:sz w:val="36"/>
          <w:szCs w:val="36"/>
          <w:lang w:eastAsia="zh-CN"/>
        </w:rPr>
        <w:t>（</w:t>
      </w:r>
      <w:r>
        <w:rPr>
          <w:rFonts w:hint="eastAsia" w:ascii="方正小标宋_GBK" w:eastAsia="方正小标宋_GBK"/>
          <w:b w:val="0"/>
          <w:bCs w:val="0"/>
          <w:sz w:val="32"/>
          <w:szCs w:val="32"/>
          <w:lang w:val="en-US" w:eastAsia="zh-CN"/>
        </w:rPr>
        <w:t>2022年度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）</w:t>
      </w:r>
    </w:p>
    <w:tbl>
      <w:tblPr>
        <w:tblStyle w:val="5"/>
        <w:tblW w:w="88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26"/>
        <w:gridCol w:w="629"/>
        <w:gridCol w:w="625"/>
        <w:gridCol w:w="2660"/>
        <w:gridCol w:w="22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项目</w:t>
            </w:r>
            <w:r>
              <w:rPr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汕头市龙湖区老旧小区改造项目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下达地方或单位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汕头市发展改革局、住房城乡建设局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本次下达中央预算内投资（万元）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4173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总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体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目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79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按照《中央预算内投资保障性安居工程专项管理暂行办法》（发改投资规〔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2019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〕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1035号）文件规定，将保障性安居工程2022年第一批投资4173</w:t>
            </w:r>
            <w:bookmarkStart w:id="0" w:name="_GoBack"/>
            <w:bookmarkEnd w:id="0"/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万元专项用于项目配套基础设施，加快推进项目建设。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绩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效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指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实施效果指标</w:t>
            </w:r>
          </w:p>
        </w:tc>
        <w:tc>
          <w:tcPr>
            <w:tcW w:w="125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产出指标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下达中央预算内投资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4173万元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效益指标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提高群众获得感、幸福感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有效提高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满意度指标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居民满意度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过程管理指标</w:t>
            </w:r>
          </w:p>
          <w:p>
            <w:pPr>
              <w:snapToGrid w:val="0"/>
              <w:ind w:firstLine="320"/>
              <w:contextualSpacing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计划管理指标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投资计划分解（转发）用时达标率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“两个责任”按项目落实到位率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spacing w:val="-1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pacing w:val="-16"/>
                <w:kern w:val="0"/>
                <w:sz w:val="21"/>
                <w:szCs w:val="21"/>
                <w:lang w:val="en-US" w:eastAsia="zh-CN"/>
              </w:rPr>
              <w:t>资金管理指标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中央预算内投资支付率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≥65%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年度计划投资完成率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项目管理指标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项目开工率</w:t>
            </w:r>
          </w:p>
        </w:tc>
        <w:tc>
          <w:tcPr>
            <w:tcW w:w="22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超规模、超标准、超概算项目比例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≤5%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监督检查指标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审计、督查、巡视等指出问题项目比例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≤1%</w:t>
            </w:r>
          </w:p>
        </w:tc>
      </w:tr>
    </w:tbl>
    <w:p>
      <w:pPr>
        <w:snapToGrid w:val="0"/>
        <w:spacing w:line="240" w:lineRule="auto"/>
        <w:ind w:left="0" w:leftChars="0" w:firstLine="0" w:firstLineChars="0"/>
        <w:contextualSpacing/>
        <w:textAlignment w:val="auto"/>
        <w:rPr>
          <w:rFonts w:hint="eastAsia"/>
          <w:color w:val="000000"/>
          <w:kern w:val="0"/>
          <w:sz w:val="16"/>
          <w:szCs w:val="16"/>
        </w:rPr>
      </w:pPr>
    </w:p>
    <w:p>
      <w:pPr>
        <w:snapToGrid w:val="0"/>
        <w:spacing w:line="240" w:lineRule="auto"/>
        <w:ind w:left="0" w:leftChars="0" w:firstLine="0" w:firstLineChars="0"/>
        <w:contextualSpacing/>
        <w:textAlignment w:val="auto"/>
        <w:rPr>
          <w:rFonts w:hint="eastAsia"/>
          <w:color w:val="000000"/>
          <w:kern w:val="0"/>
          <w:sz w:val="16"/>
          <w:szCs w:val="16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985" w:right="1616" w:bottom="1814" w:left="1616" w:header="851" w:footer="1474" w:gutter="0"/>
          <w:cols w:space="720" w:num="1"/>
          <w:docGrid w:type="lines" w:linePitch="588" w:charSpace="0"/>
        </w:sectPr>
      </w:pPr>
    </w:p>
    <w:p>
      <w:pPr>
        <w:snapToGrid w:val="0"/>
        <w:ind w:firstLine="0" w:firstLineChars="0"/>
        <w:rPr>
          <w:rFonts w:hint="eastAsia" w:eastAsia="方正黑体_GBK"/>
          <w:sz w:val="32"/>
          <w:szCs w:val="32"/>
          <w:lang w:val="en-US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  <w:lang w:val="en-US" w:eastAsia="zh-CN"/>
        </w:rPr>
        <w:t>2-2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  <w:lang w:eastAsia="zh-CN"/>
        </w:rPr>
        <w:t>保障性安居工程</w:t>
      </w:r>
      <w:r>
        <w:rPr>
          <w:rFonts w:hint="eastAsia" w:ascii="方正小标宋_GBK" w:eastAsia="方正小标宋_GBK"/>
          <w:sz w:val="40"/>
          <w:szCs w:val="40"/>
        </w:rPr>
        <w:t>20</w:t>
      </w:r>
      <w:r>
        <w:rPr>
          <w:rFonts w:hint="eastAsia" w:ascii="方正小标宋_GBK" w:eastAsia="方正小标宋_GBK"/>
          <w:sz w:val="40"/>
          <w:szCs w:val="40"/>
          <w:lang w:val="en-US" w:eastAsia="zh-CN"/>
        </w:rPr>
        <w:t>22</w:t>
      </w:r>
      <w:r>
        <w:rPr>
          <w:rFonts w:hint="eastAsia" w:ascii="方正小标宋_GBK" w:eastAsia="方正小标宋_GBK"/>
          <w:sz w:val="40"/>
          <w:szCs w:val="40"/>
        </w:rPr>
        <w:t>年</w:t>
      </w:r>
      <w:r>
        <w:rPr>
          <w:rFonts w:hint="eastAsia" w:ascii="方正小标宋_GBK" w:eastAsia="方正小标宋_GBK"/>
          <w:sz w:val="40"/>
          <w:szCs w:val="40"/>
          <w:lang w:eastAsia="zh-CN"/>
        </w:rPr>
        <w:t>第一批</w:t>
      </w:r>
      <w:r>
        <w:rPr>
          <w:rFonts w:hint="eastAsia" w:ascii="方正小标宋_GBK" w:eastAsia="方正小标宋_GBK"/>
          <w:sz w:val="40"/>
          <w:szCs w:val="40"/>
        </w:rPr>
        <w:t>中央预算内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投资</w:t>
      </w:r>
      <w:r>
        <w:rPr>
          <w:rFonts w:hint="eastAsia" w:ascii="方正小标宋_GBK" w:eastAsia="方正小标宋_GBK"/>
          <w:sz w:val="40"/>
          <w:szCs w:val="40"/>
          <w:lang w:eastAsia="zh-CN"/>
        </w:rPr>
        <w:t>计划</w:t>
      </w:r>
      <w:r>
        <w:rPr>
          <w:rFonts w:hint="eastAsia" w:ascii="方正小标宋_GBK" w:eastAsia="方正小标宋_GBK"/>
          <w:sz w:val="40"/>
          <w:szCs w:val="40"/>
        </w:rPr>
        <w:t>绩效目标表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36"/>
          <w:szCs w:val="36"/>
          <w:lang w:eastAsia="zh-CN"/>
        </w:rPr>
      </w:pPr>
      <w:r>
        <w:rPr>
          <w:rFonts w:hint="eastAsia" w:ascii="方正小标宋_GBK" w:eastAsia="方正小标宋_GBK"/>
          <w:sz w:val="36"/>
          <w:szCs w:val="36"/>
          <w:lang w:eastAsia="zh-CN"/>
        </w:rPr>
        <w:t>（</w:t>
      </w:r>
      <w:r>
        <w:rPr>
          <w:rFonts w:hint="eastAsia" w:ascii="方正小标宋_GBK" w:eastAsia="方正小标宋_GBK"/>
          <w:b w:val="0"/>
          <w:bCs w:val="0"/>
          <w:sz w:val="32"/>
          <w:szCs w:val="32"/>
          <w:lang w:val="en-US" w:eastAsia="zh-CN"/>
        </w:rPr>
        <w:t>2022年度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）</w:t>
      </w:r>
    </w:p>
    <w:tbl>
      <w:tblPr>
        <w:tblStyle w:val="5"/>
        <w:tblW w:w="88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26"/>
        <w:gridCol w:w="629"/>
        <w:gridCol w:w="625"/>
        <w:gridCol w:w="2660"/>
        <w:gridCol w:w="22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项目</w:t>
            </w:r>
            <w:r>
              <w:rPr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广东省汕头市澄海区城镇老旧小区改造项目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下达地方或单位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汕头市发展改革局、住房城乡建设局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本次下达中央预算内投资（万元）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总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体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目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79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按照《中央预算内投资保障性安居工程专项管理暂行办法》（发改投资规〔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2019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〕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1035号）文件规定，将保障性安居工程2022年第一批投资3180万元专项用于项目配套基础设施，加快推进项目建设。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绩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效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指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实施效果指标</w:t>
            </w:r>
          </w:p>
        </w:tc>
        <w:tc>
          <w:tcPr>
            <w:tcW w:w="125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产出指标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下达中央预算内投资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3180万元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效益指标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提高群众获得感、幸福感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有效提高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满意度指标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居民满意度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过程管理指标</w:t>
            </w:r>
          </w:p>
          <w:p>
            <w:pPr>
              <w:snapToGrid w:val="0"/>
              <w:ind w:firstLine="320"/>
              <w:contextualSpacing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计划管理指标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投资计划分解（转发）用时达标率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“两个责任”按项目落实到位率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spacing w:val="-1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pacing w:val="-16"/>
                <w:kern w:val="0"/>
                <w:sz w:val="21"/>
                <w:szCs w:val="21"/>
                <w:lang w:val="en-US" w:eastAsia="zh-CN"/>
              </w:rPr>
              <w:t>资金管理指标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中央预算内投资支付率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≥65%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年度计划投资完成率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项目管理指标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项目开工率</w:t>
            </w:r>
          </w:p>
        </w:tc>
        <w:tc>
          <w:tcPr>
            <w:tcW w:w="22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超规模、超标准、超概算项目比例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≤5%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监督检查指标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审计、督查、巡视等指出问题项目比例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≤1%</w:t>
            </w:r>
          </w:p>
        </w:tc>
      </w:tr>
    </w:tbl>
    <w:p>
      <w:pPr>
        <w:snapToGrid w:val="0"/>
        <w:spacing w:line="240" w:lineRule="auto"/>
        <w:ind w:left="0" w:leftChars="0" w:firstLine="0" w:firstLineChars="0"/>
        <w:contextualSpacing/>
        <w:textAlignment w:val="auto"/>
        <w:rPr>
          <w:rFonts w:hint="eastAsia"/>
          <w:color w:val="000000"/>
          <w:kern w:val="0"/>
          <w:sz w:val="16"/>
          <w:szCs w:val="16"/>
        </w:rPr>
      </w:pPr>
    </w:p>
    <w:p>
      <w:pPr>
        <w:snapToGrid w:val="0"/>
        <w:spacing w:line="240" w:lineRule="auto"/>
        <w:ind w:left="0" w:leftChars="0" w:firstLine="0" w:firstLineChars="0"/>
        <w:contextualSpacing/>
        <w:textAlignment w:val="auto"/>
        <w:rPr>
          <w:rFonts w:hint="eastAsia"/>
          <w:color w:val="000000"/>
          <w:kern w:val="0"/>
          <w:sz w:val="16"/>
          <w:szCs w:val="16"/>
        </w:rPr>
        <w:sectPr>
          <w:headerReference r:id="rId11" w:type="first"/>
          <w:footerReference r:id="rId14" w:type="first"/>
          <w:headerReference r:id="rId9" w:type="default"/>
          <w:footerReference r:id="rId12" w:type="default"/>
          <w:headerReference r:id="rId10" w:type="even"/>
          <w:footerReference r:id="rId13" w:type="even"/>
          <w:pgSz w:w="11906" w:h="16838"/>
          <w:pgMar w:top="1985" w:right="1616" w:bottom="1814" w:left="1616" w:header="851" w:footer="1474" w:gutter="0"/>
          <w:cols w:space="720" w:num="1"/>
          <w:docGrid w:type="lines" w:linePitch="588" w:charSpace="0"/>
        </w:sectPr>
      </w:pPr>
    </w:p>
    <w:p>
      <w:pPr>
        <w:snapToGrid w:val="0"/>
        <w:ind w:firstLine="0" w:firstLineChars="0"/>
        <w:rPr>
          <w:rFonts w:hint="eastAsia" w:eastAsia="方正黑体_GBK"/>
          <w:sz w:val="32"/>
          <w:szCs w:val="32"/>
          <w:lang w:val="en-US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  <w:lang w:val="en-US" w:eastAsia="zh-CN"/>
        </w:rPr>
        <w:t>2-3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  <w:lang w:eastAsia="zh-CN"/>
        </w:rPr>
        <w:t>保障性安居工程</w:t>
      </w:r>
      <w:r>
        <w:rPr>
          <w:rFonts w:hint="eastAsia" w:ascii="方正小标宋_GBK" w:eastAsia="方正小标宋_GBK"/>
          <w:sz w:val="40"/>
          <w:szCs w:val="40"/>
        </w:rPr>
        <w:t>20</w:t>
      </w:r>
      <w:r>
        <w:rPr>
          <w:rFonts w:hint="eastAsia" w:ascii="方正小标宋_GBK" w:eastAsia="方正小标宋_GBK"/>
          <w:sz w:val="40"/>
          <w:szCs w:val="40"/>
          <w:lang w:val="en-US" w:eastAsia="zh-CN"/>
        </w:rPr>
        <w:t>22</w:t>
      </w:r>
      <w:r>
        <w:rPr>
          <w:rFonts w:hint="eastAsia" w:ascii="方正小标宋_GBK" w:eastAsia="方正小标宋_GBK"/>
          <w:sz w:val="40"/>
          <w:szCs w:val="40"/>
        </w:rPr>
        <w:t>年</w:t>
      </w:r>
      <w:r>
        <w:rPr>
          <w:rFonts w:hint="eastAsia" w:ascii="方正小标宋_GBK" w:eastAsia="方正小标宋_GBK"/>
          <w:sz w:val="40"/>
          <w:szCs w:val="40"/>
          <w:lang w:eastAsia="zh-CN"/>
        </w:rPr>
        <w:t>第一批</w:t>
      </w:r>
      <w:r>
        <w:rPr>
          <w:rFonts w:hint="eastAsia" w:ascii="方正小标宋_GBK" w:eastAsia="方正小标宋_GBK"/>
          <w:sz w:val="40"/>
          <w:szCs w:val="40"/>
        </w:rPr>
        <w:t>中央预算内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投资</w:t>
      </w:r>
      <w:r>
        <w:rPr>
          <w:rFonts w:hint="eastAsia" w:ascii="方正小标宋_GBK" w:eastAsia="方正小标宋_GBK"/>
          <w:sz w:val="40"/>
          <w:szCs w:val="40"/>
          <w:lang w:eastAsia="zh-CN"/>
        </w:rPr>
        <w:t>计划</w:t>
      </w:r>
      <w:r>
        <w:rPr>
          <w:rFonts w:hint="eastAsia" w:ascii="方正小标宋_GBK" w:eastAsia="方正小标宋_GBK"/>
          <w:sz w:val="40"/>
          <w:szCs w:val="40"/>
        </w:rPr>
        <w:t>绩效目标表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36"/>
          <w:szCs w:val="36"/>
          <w:lang w:eastAsia="zh-CN"/>
        </w:rPr>
      </w:pPr>
      <w:r>
        <w:rPr>
          <w:rFonts w:hint="eastAsia" w:ascii="方正小标宋_GBK" w:eastAsia="方正小标宋_GBK"/>
          <w:sz w:val="36"/>
          <w:szCs w:val="36"/>
          <w:lang w:eastAsia="zh-CN"/>
        </w:rPr>
        <w:t>（</w:t>
      </w:r>
      <w:r>
        <w:rPr>
          <w:rFonts w:hint="eastAsia" w:ascii="方正小标宋_GBK" w:eastAsia="方正小标宋_GBK"/>
          <w:b w:val="0"/>
          <w:bCs w:val="0"/>
          <w:sz w:val="32"/>
          <w:szCs w:val="32"/>
          <w:lang w:val="en-US" w:eastAsia="zh-CN"/>
        </w:rPr>
        <w:t>2022年度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）</w:t>
      </w:r>
    </w:p>
    <w:tbl>
      <w:tblPr>
        <w:tblStyle w:val="5"/>
        <w:tblW w:w="88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26"/>
        <w:gridCol w:w="629"/>
        <w:gridCol w:w="625"/>
        <w:gridCol w:w="2660"/>
        <w:gridCol w:w="22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项目</w:t>
            </w:r>
            <w:r>
              <w:rPr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佛山市南海区西樵镇老旧小区改造项目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下达地方或单位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佛山市发展改革局、住房城乡建设局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本次下达中央预算内投资（万元）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总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体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目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79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按照《中央预算内投资保障性安居工程专项管理暂行办法》（发改投资规〔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2019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〕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1035号）文件规定，将2022年第一批保障性安居工程配套基础设施建设中央预算内投资800万元专项用于项目配套基础设施，加快推进项目建设。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绩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效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指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实施效果指标</w:t>
            </w:r>
          </w:p>
        </w:tc>
        <w:tc>
          <w:tcPr>
            <w:tcW w:w="125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产出指标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下达中央预算内投资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800万元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效益指标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提高群众获得感、幸福感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有效提高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满意度指标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居民满意度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过程管理指标</w:t>
            </w:r>
          </w:p>
          <w:p>
            <w:pPr>
              <w:snapToGrid w:val="0"/>
              <w:ind w:firstLine="320"/>
              <w:contextualSpacing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计划管理指标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投资计划分解（转发）用时达标率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“两个责任”按项目落实到位率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spacing w:val="-1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pacing w:val="-16"/>
                <w:kern w:val="0"/>
                <w:sz w:val="21"/>
                <w:szCs w:val="21"/>
                <w:lang w:val="en-US" w:eastAsia="zh-CN"/>
              </w:rPr>
              <w:t>资金管理指标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中央预算内投资支付率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≥65%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年度计划投资完成率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项目管理指标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项目开工率</w:t>
            </w:r>
          </w:p>
        </w:tc>
        <w:tc>
          <w:tcPr>
            <w:tcW w:w="22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超规模、超标准、超概算项目比例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≤5%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监督检查指标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审计、督查、巡视等指出问题项目比例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≤1%</w:t>
            </w:r>
          </w:p>
        </w:tc>
      </w:tr>
    </w:tbl>
    <w:p>
      <w:pPr>
        <w:snapToGrid w:val="0"/>
        <w:spacing w:line="240" w:lineRule="auto"/>
        <w:ind w:left="0" w:leftChars="0" w:firstLine="0" w:firstLineChars="0"/>
        <w:contextualSpacing/>
        <w:textAlignment w:val="auto"/>
        <w:rPr>
          <w:rFonts w:hint="eastAsia"/>
          <w:color w:val="000000"/>
          <w:kern w:val="0"/>
          <w:sz w:val="16"/>
          <w:szCs w:val="16"/>
        </w:rPr>
      </w:pPr>
    </w:p>
    <w:p>
      <w:pPr>
        <w:snapToGrid w:val="0"/>
        <w:spacing w:line="240" w:lineRule="auto"/>
        <w:ind w:left="0" w:leftChars="0" w:firstLine="0" w:firstLineChars="0"/>
        <w:contextualSpacing/>
        <w:textAlignment w:val="auto"/>
        <w:rPr>
          <w:rFonts w:hint="eastAsia"/>
          <w:color w:val="000000"/>
          <w:kern w:val="0"/>
          <w:sz w:val="16"/>
          <w:szCs w:val="16"/>
        </w:rPr>
        <w:sectPr>
          <w:headerReference r:id="rId17" w:type="first"/>
          <w:footerReference r:id="rId20" w:type="first"/>
          <w:headerReference r:id="rId15" w:type="default"/>
          <w:footerReference r:id="rId18" w:type="default"/>
          <w:headerReference r:id="rId16" w:type="even"/>
          <w:footerReference r:id="rId19" w:type="even"/>
          <w:pgSz w:w="11906" w:h="16838"/>
          <w:pgMar w:top="1985" w:right="1616" w:bottom="1814" w:left="1616" w:header="851" w:footer="1474" w:gutter="0"/>
          <w:cols w:space="720" w:num="1"/>
          <w:docGrid w:type="lines" w:linePitch="588" w:charSpace="0"/>
        </w:sectPr>
      </w:pPr>
    </w:p>
    <w:p>
      <w:pPr>
        <w:snapToGrid w:val="0"/>
        <w:ind w:firstLine="0" w:firstLineChars="0"/>
        <w:rPr>
          <w:rFonts w:hint="eastAsia" w:eastAsia="方正黑体_GBK"/>
          <w:sz w:val="32"/>
          <w:szCs w:val="32"/>
          <w:lang w:val="en-US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  <w:lang w:val="en-US" w:eastAsia="zh-CN"/>
        </w:rPr>
        <w:t>2-4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  <w:lang w:eastAsia="zh-CN"/>
        </w:rPr>
        <w:t>保障性安居工程</w:t>
      </w:r>
      <w:r>
        <w:rPr>
          <w:rFonts w:hint="eastAsia" w:ascii="方正小标宋_GBK" w:eastAsia="方正小标宋_GBK"/>
          <w:sz w:val="40"/>
          <w:szCs w:val="40"/>
        </w:rPr>
        <w:t>20</w:t>
      </w:r>
      <w:r>
        <w:rPr>
          <w:rFonts w:hint="eastAsia" w:ascii="方正小标宋_GBK" w:eastAsia="方正小标宋_GBK"/>
          <w:sz w:val="40"/>
          <w:szCs w:val="40"/>
          <w:lang w:val="en-US" w:eastAsia="zh-CN"/>
        </w:rPr>
        <w:t>22</w:t>
      </w:r>
      <w:r>
        <w:rPr>
          <w:rFonts w:hint="eastAsia" w:ascii="方正小标宋_GBK" w:eastAsia="方正小标宋_GBK"/>
          <w:sz w:val="40"/>
          <w:szCs w:val="40"/>
        </w:rPr>
        <w:t>年</w:t>
      </w:r>
      <w:r>
        <w:rPr>
          <w:rFonts w:hint="eastAsia" w:ascii="方正小标宋_GBK" w:eastAsia="方正小标宋_GBK"/>
          <w:sz w:val="40"/>
          <w:szCs w:val="40"/>
          <w:lang w:eastAsia="zh-CN"/>
        </w:rPr>
        <w:t>第一批</w:t>
      </w:r>
      <w:r>
        <w:rPr>
          <w:rFonts w:hint="eastAsia" w:ascii="方正小标宋_GBK" w:eastAsia="方正小标宋_GBK"/>
          <w:sz w:val="40"/>
          <w:szCs w:val="40"/>
        </w:rPr>
        <w:t>中央预算内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投资</w:t>
      </w:r>
      <w:r>
        <w:rPr>
          <w:rFonts w:hint="eastAsia" w:ascii="方正小标宋_GBK" w:eastAsia="方正小标宋_GBK"/>
          <w:sz w:val="40"/>
          <w:szCs w:val="40"/>
          <w:lang w:eastAsia="zh-CN"/>
        </w:rPr>
        <w:t>计划</w:t>
      </w:r>
      <w:r>
        <w:rPr>
          <w:rFonts w:hint="eastAsia" w:ascii="方正小标宋_GBK" w:eastAsia="方正小标宋_GBK"/>
          <w:sz w:val="40"/>
          <w:szCs w:val="40"/>
        </w:rPr>
        <w:t>绩效目标表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36"/>
          <w:szCs w:val="36"/>
          <w:lang w:eastAsia="zh-CN"/>
        </w:rPr>
      </w:pPr>
      <w:r>
        <w:rPr>
          <w:rFonts w:hint="eastAsia" w:ascii="方正小标宋_GBK" w:eastAsia="方正小标宋_GBK"/>
          <w:sz w:val="36"/>
          <w:szCs w:val="36"/>
          <w:lang w:eastAsia="zh-CN"/>
        </w:rPr>
        <w:t>（</w:t>
      </w:r>
      <w:r>
        <w:rPr>
          <w:rFonts w:hint="eastAsia" w:ascii="方正小标宋_GBK" w:eastAsia="方正小标宋_GBK"/>
          <w:b w:val="0"/>
          <w:bCs w:val="0"/>
          <w:sz w:val="32"/>
          <w:szCs w:val="32"/>
          <w:lang w:val="en-US" w:eastAsia="zh-CN"/>
        </w:rPr>
        <w:t>2022年度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）</w:t>
      </w:r>
    </w:p>
    <w:tbl>
      <w:tblPr>
        <w:tblStyle w:val="5"/>
        <w:tblW w:w="88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26"/>
        <w:gridCol w:w="629"/>
        <w:gridCol w:w="625"/>
        <w:gridCol w:w="2660"/>
        <w:gridCol w:w="22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项目</w:t>
            </w:r>
            <w:r>
              <w:rPr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丰顺县城东山片老旧小区及周边基础设施配套工程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下达地方或单位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梅州市发展改革局、住房城乡建设局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本次下达中央预算内投资（万元）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总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体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目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79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按照《中央预算内投资保障性安居工程专项管理暂行办法》（发改投资规〔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2019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〕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1035号）文件规定，将2022年第一批保障性安居工程配套基础设施建设中央预算内投资2969万元专项用于项目配套基础设施，加快推进项目建设。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绩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效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指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实施效果指标</w:t>
            </w:r>
          </w:p>
        </w:tc>
        <w:tc>
          <w:tcPr>
            <w:tcW w:w="125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产出指标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下达中央预算内投资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2969万元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效益指标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提高群众获得感、幸福感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有效提高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满意度指标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居民满意度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过程管理指标</w:t>
            </w:r>
          </w:p>
          <w:p>
            <w:pPr>
              <w:snapToGrid w:val="0"/>
              <w:ind w:firstLine="320"/>
              <w:contextualSpacing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计划管理指标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投资计划分解（转发）用时达标率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“两个责任”按项目落实到位率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spacing w:val="-1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pacing w:val="-16"/>
                <w:kern w:val="0"/>
                <w:sz w:val="21"/>
                <w:szCs w:val="21"/>
                <w:lang w:val="en-US" w:eastAsia="zh-CN"/>
              </w:rPr>
              <w:t>资金管理指标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中央预算内投资支付率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≥65%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年度计划投资完成率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项目管理指标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项目开工率</w:t>
            </w:r>
          </w:p>
        </w:tc>
        <w:tc>
          <w:tcPr>
            <w:tcW w:w="22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超规模、超标准、超概算项目比例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≤5%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监督检查指标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审计、督查、巡视等指出问题项目比例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≤1%</w:t>
            </w:r>
          </w:p>
        </w:tc>
      </w:tr>
    </w:tbl>
    <w:p>
      <w:pPr>
        <w:snapToGrid w:val="0"/>
        <w:spacing w:line="240" w:lineRule="auto"/>
        <w:ind w:left="0" w:leftChars="0" w:firstLine="0" w:firstLineChars="0"/>
        <w:contextualSpacing/>
        <w:textAlignment w:val="auto"/>
        <w:rPr>
          <w:rFonts w:hint="eastAsia"/>
          <w:color w:val="000000"/>
          <w:kern w:val="0"/>
          <w:sz w:val="16"/>
          <w:szCs w:val="16"/>
        </w:rPr>
      </w:pPr>
    </w:p>
    <w:p>
      <w:pPr>
        <w:snapToGrid w:val="0"/>
        <w:spacing w:line="240" w:lineRule="auto"/>
        <w:ind w:left="0" w:leftChars="0" w:firstLine="0" w:firstLineChars="0"/>
        <w:contextualSpacing/>
        <w:textAlignment w:val="auto"/>
        <w:rPr>
          <w:rFonts w:hint="eastAsia"/>
          <w:color w:val="000000"/>
          <w:kern w:val="0"/>
          <w:sz w:val="16"/>
          <w:szCs w:val="16"/>
        </w:rPr>
        <w:sectPr>
          <w:headerReference r:id="rId23" w:type="first"/>
          <w:footerReference r:id="rId26" w:type="first"/>
          <w:headerReference r:id="rId21" w:type="default"/>
          <w:footerReference r:id="rId24" w:type="default"/>
          <w:headerReference r:id="rId22" w:type="even"/>
          <w:footerReference r:id="rId25" w:type="even"/>
          <w:pgSz w:w="11906" w:h="16838"/>
          <w:pgMar w:top="1985" w:right="1616" w:bottom="1814" w:left="1616" w:header="851" w:footer="1474" w:gutter="0"/>
          <w:cols w:space="720" w:num="1"/>
          <w:docGrid w:type="lines" w:linePitch="588" w:charSpace="0"/>
        </w:sectPr>
      </w:pPr>
    </w:p>
    <w:p>
      <w:pPr>
        <w:snapToGrid w:val="0"/>
        <w:ind w:firstLine="0" w:firstLineChars="0"/>
        <w:rPr>
          <w:rFonts w:hint="eastAsia" w:eastAsia="方正黑体_GBK"/>
          <w:sz w:val="32"/>
          <w:szCs w:val="32"/>
          <w:lang w:val="en-US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  <w:lang w:val="en-US" w:eastAsia="zh-CN"/>
        </w:rPr>
        <w:t>2-5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  <w:lang w:eastAsia="zh-CN"/>
        </w:rPr>
        <w:t>保障性安居工程</w:t>
      </w:r>
      <w:r>
        <w:rPr>
          <w:rFonts w:hint="eastAsia" w:ascii="方正小标宋_GBK" w:eastAsia="方正小标宋_GBK"/>
          <w:sz w:val="40"/>
          <w:szCs w:val="40"/>
        </w:rPr>
        <w:t>20</w:t>
      </w:r>
      <w:r>
        <w:rPr>
          <w:rFonts w:hint="eastAsia" w:ascii="方正小标宋_GBK" w:eastAsia="方正小标宋_GBK"/>
          <w:sz w:val="40"/>
          <w:szCs w:val="40"/>
          <w:lang w:val="en-US" w:eastAsia="zh-CN"/>
        </w:rPr>
        <w:t>22</w:t>
      </w:r>
      <w:r>
        <w:rPr>
          <w:rFonts w:hint="eastAsia" w:ascii="方正小标宋_GBK" w:eastAsia="方正小标宋_GBK"/>
          <w:sz w:val="40"/>
          <w:szCs w:val="40"/>
        </w:rPr>
        <w:t>年</w:t>
      </w:r>
      <w:r>
        <w:rPr>
          <w:rFonts w:hint="eastAsia" w:ascii="方正小标宋_GBK" w:eastAsia="方正小标宋_GBK"/>
          <w:sz w:val="40"/>
          <w:szCs w:val="40"/>
          <w:lang w:eastAsia="zh-CN"/>
        </w:rPr>
        <w:t>第一批</w:t>
      </w:r>
      <w:r>
        <w:rPr>
          <w:rFonts w:hint="eastAsia" w:ascii="方正小标宋_GBK" w:eastAsia="方正小标宋_GBK"/>
          <w:sz w:val="40"/>
          <w:szCs w:val="40"/>
        </w:rPr>
        <w:t>中央预算内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投资</w:t>
      </w:r>
      <w:r>
        <w:rPr>
          <w:rFonts w:hint="eastAsia" w:ascii="方正小标宋_GBK" w:eastAsia="方正小标宋_GBK"/>
          <w:sz w:val="40"/>
          <w:szCs w:val="40"/>
          <w:lang w:eastAsia="zh-CN"/>
        </w:rPr>
        <w:t>计划</w:t>
      </w:r>
      <w:r>
        <w:rPr>
          <w:rFonts w:hint="eastAsia" w:ascii="方正小标宋_GBK" w:eastAsia="方正小标宋_GBK"/>
          <w:sz w:val="40"/>
          <w:szCs w:val="40"/>
        </w:rPr>
        <w:t>绩效目标表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36"/>
          <w:szCs w:val="36"/>
          <w:lang w:eastAsia="zh-CN"/>
        </w:rPr>
      </w:pPr>
      <w:r>
        <w:rPr>
          <w:rFonts w:hint="eastAsia" w:ascii="方正小标宋_GBK" w:eastAsia="方正小标宋_GBK"/>
          <w:sz w:val="36"/>
          <w:szCs w:val="36"/>
          <w:lang w:eastAsia="zh-CN"/>
        </w:rPr>
        <w:t>（</w:t>
      </w:r>
      <w:r>
        <w:rPr>
          <w:rFonts w:hint="eastAsia" w:ascii="方正小标宋_GBK" w:eastAsia="方正小标宋_GBK"/>
          <w:b w:val="0"/>
          <w:bCs w:val="0"/>
          <w:sz w:val="32"/>
          <w:szCs w:val="32"/>
          <w:lang w:val="en-US" w:eastAsia="zh-CN"/>
        </w:rPr>
        <w:t>2022年度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）</w:t>
      </w:r>
    </w:p>
    <w:tbl>
      <w:tblPr>
        <w:tblStyle w:val="5"/>
        <w:tblW w:w="88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26"/>
        <w:gridCol w:w="629"/>
        <w:gridCol w:w="625"/>
        <w:gridCol w:w="2660"/>
        <w:gridCol w:w="22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项目</w:t>
            </w:r>
            <w:r>
              <w:rPr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江门市新会区老旧小区改造及周边基础设施改造二期项目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下达地方或单位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江门市发展改革局、住房城乡建设局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本次下达中央预算内投资（万元）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总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体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目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79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按照《中央预算内投资保障性安居工程专项管理暂行办法》（发改投资规〔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2019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〕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1035号）文件规定，将2022年第一批保障性安居工程配套基础设施建设中央预算内投资3798万元专项用于项目配套基础设施，加快推进项目建设。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绩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效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指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实施效果指标</w:t>
            </w:r>
          </w:p>
        </w:tc>
        <w:tc>
          <w:tcPr>
            <w:tcW w:w="125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产出指标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下达中央预算内投资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3798万元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效益指标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提高群众获得感、幸福感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有效提高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满意度指标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居民满意度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过程管理指标</w:t>
            </w:r>
          </w:p>
          <w:p>
            <w:pPr>
              <w:snapToGrid w:val="0"/>
              <w:ind w:firstLine="320"/>
              <w:contextualSpacing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计划管理指标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投资计划分解（转发）用时达标率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“两个责任”按项目落实到位率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spacing w:val="-1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pacing w:val="-16"/>
                <w:kern w:val="0"/>
                <w:sz w:val="21"/>
                <w:szCs w:val="21"/>
                <w:lang w:val="en-US" w:eastAsia="zh-CN"/>
              </w:rPr>
              <w:t>资金管理指标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中央预算内投资支付率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≥65%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年度计划投资完成率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项目管理指标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项目开工率</w:t>
            </w:r>
          </w:p>
        </w:tc>
        <w:tc>
          <w:tcPr>
            <w:tcW w:w="22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超规模、超标准、超概算项目比例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≤5%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监督检查指标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审计、督查、巡视等指出问题项目比例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≤1%</w:t>
            </w:r>
          </w:p>
        </w:tc>
      </w:tr>
    </w:tbl>
    <w:p>
      <w:pPr>
        <w:snapToGrid w:val="0"/>
        <w:spacing w:line="240" w:lineRule="auto"/>
        <w:ind w:left="0" w:leftChars="0" w:firstLine="0" w:firstLineChars="0"/>
        <w:contextualSpacing/>
        <w:textAlignment w:val="auto"/>
        <w:rPr>
          <w:rFonts w:hint="eastAsia"/>
          <w:color w:val="000000"/>
          <w:kern w:val="0"/>
          <w:sz w:val="16"/>
          <w:szCs w:val="16"/>
        </w:rPr>
      </w:pPr>
    </w:p>
    <w:p>
      <w:pPr>
        <w:snapToGrid w:val="0"/>
        <w:spacing w:line="240" w:lineRule="auto"/>
        <w:ind w:left="0" w:leftChars="0" w:firstLine="0" w:firstLineChars="0"/>
        <w:contextualSpacing/>
        <w:textAlignment w:val="auto"/>
        <w:rPr>
          <w:rFonts w:hint="eastAsia"/>
          <w:color w:val="000000"/>
          <w:kern w:val="0"/>
          <w:sz w:val="16"/>
          <w:szCs w:val="16"/>
        </w:rPr>
        <w:sectPr>
          <w:headerReference r:id="rId29" w:type="first"/>
          <w:footerReference r:id="rId32" w:type="first"/>
          <w:headerReference r:id="rId27" w:type="default"/>
          <w:footerReference r:id="rId30" w:type="default"/>
          <w:headerReference r:id="rId28" w:type="even"/>
          <w:footerReference r:id="rId31" w:type="even"/>
          <w:pgSz w:w="11906" w:h="16838"/>
          <w:pgMar w:top="1985" w:right="1616" w:bottom="1814" w:left="1616" w:header="851" w:footer="1474" w:gutter="0"/>
          <w:cols w:space="720" w:num="1"/>
          <w:docGrid w:type="lines" w:linePitch="588" w:charSpace="0"/>
        </w:sectPr>
      </w:pPr>
    </w:p>
    <w:p>
      <w:pPr>
        <w:snapToGrid w:val="0"/>
        <w:ind w:firstLine="0" w:firstLineChars="0"/>
        <w:rPr>
          <w:rFonts w:hint="eastAsia" w:eastAsia="方正黑体_GBK"/>
          <w:sz w:val="32"/>
          <w:szCs w:val="32"/>
          <w:lang w:val="en-US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  <w:lang w:val="en-US" w:eastAsia="zh-CN"/>
        </w:rPr>
        <w:t>2-6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  <w:lang w:eastAsia="zh-CN"/>
        </w:rPr>
        <w:t>保障性安居工程</w:t>
      </w:r>
      <w:r>
        <w:rPr>
          <w:rFonts w:hint="eastAsia" w:ascii="方正小标宋_GBK" w:eastAsia="方正小标宋_GBK"/>
          <w:sz w:val="40"/>
          <w:szCs w:val="40"/>
        </w:rPr>
        <w:t>20</w:t>
      </w:r>
      <w:r>
        <w:rPr>
          <w:rFonts w:hint="eastAsia" w:ascii="方正小标宋_GBK" w:eastAsia="方正小标宋_GBK"/>
          <w:sz w:val="40"/>
          <w:szCs w:val="40"/>
          <w:lang w:val="en-US" w:eastAsia="zh-CN"/>
        </w:rPr>
        <w:t>22</w:t>
      </w:r>
      <w:r>
        <w:rPr>
          <w:rFonts w:hint="eastAsia" w:ascii="方正小标宋_GBK" w:eastAsia="方正小标宋_GBK"/>
          <w:sz w:val="40"/>
          <w:szCs w:val="40"/>
        </w:rPr>
        <w:t>年</w:t>
      </w:r>
      <w:r>
        <w:rPr>
          <w:rFonts w:hint="eastAsia" w:ascii="方正小标宋_GBK" w:eastAsia="方正小标宋_GBK"/>
          <w:sz w:val="40"/>
          <w:szCs w:val="40"/>
          <w:lang w:eastAsia="zh-CN"/>
        </w:rPr>
        <w:t>第一批</w:t>
      </w:r>
      <w:r>
        <w:rPr>
          <w:rFonts w:hint="eastAsia" w:ascii="方正小标宋_GBK" w:eastAsia="方正小标宋_GBK"/>
          <w:sz w:val="40"/>
          <w:szCs w:val="40"/>
        </w:rPr>
        <w:t>中央预算内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投资</w:t>
      </w:r>
      <w:r>
        <w:rPr>
          <w:rFonts w:hint="eastAsia" w:ascii="方正小标宋_GBK" w:eastAsia="方正小标宋_GBK"/>
          <w:sz w:val="40"/>
          <w:szCs w:val="40"/>
          <w:lang w:eastAsia="zh-CN"/>
        </w:rPr>
        <w:t>计划</w:t>
      </w:r>
      <w:r>
        <w:rPr>
          <w:rFonts w:hint="eastAsia" w:ascii="方正小标宋_GBK" w:eastAsia="方正小标宋_GBK"/>
          <w:sz w:val="40"/>
          <w:szCs w:val="40"/>
        </w:rPr>
        <w:t>绩效目标表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36"/>
          <w:szCs w:val="36"/>
          <w:lang w:eastAsia="zh-CN"/>
        </w:rPr>
      </w:pPr>
      <w:r>
        <w:rPr>
          <w:rFonts w:hint="eastAsia" w:ascii="方正小标宋_GBK" w:eastAsia="方正小标宋_GBK"/>
          <w:sz w:val="36"/>
          <w:szCs w:val="36"/>
          <w:lang w:eastAsia="zh-CN"/>
        </w:rPr>
        <w:t>（</w:t>
      </w:r>
      <w:r>
        <w:rPr>
          <w:rFonts w:hint="eastAsia" w:ascii="方正小标宋_GBK" w:eastAsia="方正小标宋_GBK"/>
          <w:b w:val="0"/>
          <w:bCs w:val="0"/>
          <w:sz w:val="32"/>
          <w:szCs w:val="32"/>
          <w:lang w:val="en-US" w:eastAsia="zh-CN"/>
        </w:rPr>
        <w:t>2022年度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）</w:t>
      </w:r>
    </w:p>
    <w:tbl>
      <w:tblPr>
        <w:tblStyle w:val="5"/>
        <w:tblW w:w="88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26"/>
        <w:gridCol w:w="629"/>
        <w:gridCol w:w="625"/>
        <w:gridCol w:w="2660"/>
        <w:gridCol w:w="22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项目</w:t>
            </w:r>
            <w:r>
              <w:rPr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高州市城镇老旧小区改造项目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下达地方或单位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茂名市发展改革局、住房城乡建设局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本次下达中央预算内投资（万元）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6480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总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体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目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79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按照《中央预算内投资保障性安居工程专项管理暂行办法》（发改投资规〔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2019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〕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1035号）文件规定，将2022年第一批保障性安居工程配套基础设施建设中央预算内投资6480万元专项用于项目配套基础设施，加快推进项目建设。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绩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效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指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实施效果指标</w:t>
            </w:r>
          </w:p>
        </w:tc>
        <w:tc>
          <w:tcPr>
            <w:tcW w:w="125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产出指标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下达中央预算内投资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6480万元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效益指标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提高群众获得感、幸福感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有效提高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满意度指标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居民满意度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过程管理指标</w:t>
            </w:r>
          </w:p>
          <w:p>
            <w:pPr>
              <w:snapToGrid w:val="0"/>
              <w:ind w:firstLine="320"/>
              <w:contextualSpacing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计划管理指标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投资计划分解（转发）用时达标率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“两个责任”按项目落实到位率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spacing w:val="-1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pacing w:val="-16"/>
                <w:kern w:val="0"/>
                <w:sz w:val="21"/>
                <w:szCs w:val="21"/>
                <w:lang w:val="en-US" w:eastAsia="zh-CN"/>
              </w:rPr>
              <w:t>资金管理指标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中央预算内投资支付率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≥65%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年度计划投资完成率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项目管理指标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项目开工率</w:t>
            </w:r>
          </w:p>
        </w:tc>
        <w:tc>
          <w:tcPr>
            <w:tcW w:w="22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超规模、超标准、超概算项目比例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≤5%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监督检查指标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审计、督查、巡视等指出问题项目比例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≤1%</w:t>
            </w:r>
          </w:p>
        </w:tc>
      </w:tr>
    </w:tbl>
    <w:p>
      <w:pPr>
        <w:snapToGrid w:val="0"/>
        <w:spacing w:line="240" w:lineRule="auto"/>
        <w:ind w:left="0" w:leftChars="0" w:firstLine="0" w:firstLineChars="0"/>
        <w:contextualSpacing/>
        <w:textAlignment w:val="auto"/>
        <w:rPr>
          <w:rFonts w:hint="eastAsia"/>
          <w:color w:val="000000"/>
          <w:kern w:val="0"/>
          <w:sz w:val="16"/>
          <w:szCs w:val="16"/>
        </w:rPr>
      </w:pPr>
    </w:p>
    <w:p>
      <w:pPr>
        <w:ind w:left="0" w:leftChars="0" w:firstLine="0" w:firstLineChars="0"/>
        <w:rPr>
          <w:rFonts w:hint="eastAsia" w:eastAsia="方正仿宋_GBK"/>
          <w:lang w:val="en-US" w:eastAsia="zh-CN"/>
        </w:rPr>
      </w:pPr>
    </w:p>
    <w:sectPr>
      <w:pgSz w:w="11906" w:h="16838"/>
      <w:pgMar w:top="1985" w:right="1616" w:bottom="1814" w:left="1616" w:header="851" w:footer="1474" w:gutter="0"/>
      <w:cols w:space="720" w:num="1"/>
      <w:docGrid w:type="lines" w:linePitch="58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41" w:firstLine="560"/>
      <w:jc w:val="right"/>
      <w:rPr>
        <w:rFonts w:hint="eastAsia" w:ascii="仿宋_GB2312" w:hAnsi="宋体" w:eastAsia="仿宋_GB2312"/>
        <w:caps/>
        <w:sz w:val="28"/>
        <w:szCs w:val="28"/>
        <w:lang w:val="en-US" w:eastAsia="zh-CN"/>
      </w:rPr>
    </w:pPr>
    <w:r>
      <w:rPr>
        <w:rFonts w:hint="eastAsia" w:ascii="仿宋_GB2312" w:hAnsi="宋体" w:eastAsia="仿宋_GB2312"/>
        <w:caps/>
        <w:sz w:val="28"/>
        <w:szCs w:val="28"/>
        <w:lang w:val="en-US" w:eastAsia="zh-CN"/>
      </w:rPr>
      <w:t>·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41" w:firstLine="560"/>
      <w:jc w:val="right"/>
      <w:rPr>
        <w:rFonts w:hint="eastAsia" w:ascii="仿宋_GB2312" w:hAnsi="宋体" w:eastAsia="仿宋_GB2312"/>
        <w:caps/>
        <w:sz w:val="28"/>
        <w:szCs w:val="28"/>
        <w:lang w:val="en-US" w:eastAsia="zh-CN"/>
      </w:rPr>
    </w:pPr>
    <w:r>
      <w:rPr>
        <w:rFonts w:hint="eastAsia" w:ascii="仿宋_GB2312" w:hAnsi="宋体" w:eastAsia="仿宋_GB2312"/>
        <w:caps/>
        <w:sz w:val="28"/>
        <w:szCs w:val="28"/>
        <w:lang w:val="en-US" w:eastAsia="zh-CN"/>
      </w:rPr>
      <w:t>·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41" w:firstLine="560"/>
      <w:rPr>
        <w:rFonts w:ascii="仿宋_GB2312" w:hAnsi="宋体" w:eastAsia="仿宋_GB2312"/>
        <w:caps/>
        <w:sz w:val="28"/>
        <w:szCs w:val="28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41" w:firstLine="560"/>
      <w:jc w:val="right"/>
      <w:rPr>
        <w:rFonts w:hint="eastAsia" w:ascii="仿宋_GB2312" w:hAnsi="宋体" w:eastAsia="仿宋_GB2312"/>
        <w:caps/>
        <w:sz w:val="28"/>
        <w:szCs w:val="28"/>
        <w:lang w:val="en-US" w:eastAsia="zh-CN"/>
      </w:rPr>
    </w:pPr>
    <w:r>
      <w:rPr>
        <w:rFonts w:hint="eastAsia" w:ascii="仿宋_GB2312" w:hAnsi="宋体" w:eastAsia="仿宋_GB2312"/>
        <w:caps/>
        <w:sz w:val="28"/>
        <w:szCs w:val="28"/>
        <w:lang w:val="en-US" w:eastAsia="zh-CN"/>
      </w:rPr>
      <w:t>·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41" w:firstLine="560"/>
      <w:rPr>
        <w:rFonts w:ascii="仿宋_GB2312" w:hAnsi="宋体" w:eastAsia="仿宋_GB2312"/>
        <w:caps/>
        <w:sz w:val="28"/>
        <w:szCs w:val="28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41" w:firstLine="560"/>
      <w:rPr>
        <w:rFonts w:ascii="仿宋_GB2312" w:hAnsi="宋体" w:eastAsia="仿宋_GB2312"/>
        <w:caps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41" w:firstLine="560"/>
      <w:jc w:val="right"/>
      <w:rPr>
        <w:rFonts w:hint="eastAsia" w:ascii="仿宋_GB2312" w:hAnsi="宋体" w:eastAsia="仿宋_GB2312"/>
        <w:caps/>
        <w:sz w:val="28"/>
        <w:szCs w:val="28"/>
        <w:lang w:val="en-US" w:eastAsia="zh-CN"/>
      </w:rPr>
    </w:pPr>
    <w:r>
      <w:rPr>
        <w:rFonts w:hint="eastAsia" w:ascii="仿宋_GB2312" w:hAnsi="宋体" w:eastAsia="仿宋_GB2312"/>
        <w:caps/>
        <w:sz w:val="28"/>
        <w:szCs w:val="28"/>
        <w:lang w:val="en-US" w:eastAsia="zh-CN"/>
      </w:rPr>
      <w:t>·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41" w:firstLine="560"/>
      <w:rPr>
        <w:rFonts w:ascii="仿宋_GB2312" w:hAnsi="宋体" w:eastAsia="仿宋_GB2312"/>
        <w:caps/>
        <w:sz w:val="28"/>
        <w:szCs w:val="2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41" w:firstLine="560"/>
      <w:jc w:val="right"/>
      <w:rPr>
        <w:rFonts w:hint="eastAsia" w:ascii="仿宋_GB2312" w:hAnsi="宋体" w:eastAsia="仿宋_GB2312"/>
        <w:caps/>
        <w:sz w:val="28"/>
        <w:szCs w:val="28"/>
        <w:lang w:val="en-US" w:eastAsia="zh-CN"/>
      </w:rPr>
    </w:pPr>
    <w:r>
      <w:rPr>
        <w:rFonts w:hint="eastAsia" w:ascii="仿宋_GB2312" w:hAnsi="宋体" w:eastAsia="仿宋_GB2312"/>
        <w:caps/>
        <w:sz w:val="28"/>
        <w:szCs w:val="28"/>
        <w:lang w:val="en-US" w:eastAsia="zh-CN"/>
      </w:rPr>
      <w:t>·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41" w:firstLine="560"/>
      <w:rPr>
        <w:rFonts w:ascii="仿宋_GB2312" w:hAnsi="宋体" w:eastAsia="仿宋_GB2312"/>
        <w:caps/>
        <w:sz w:val="28"/>
        <w:szCs w:val="2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0" w:leftChars="0" w:firstLine="0" w:firstLineChars="0"/>
      <w:jc w:val="both"/>
      <w:rPr>
        <w:rFonts w:hint="eastAsia" w:eastAsia="方正仿宋_GBK"/>
        <w:lang w:eastAsia="zh-CN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0" w:leftChars="0" w:firstLine="0" w:firstLineChars="0"/>
      <w:jc w:val="both"/>
      <w:rPr>
        <w:rFonts w:hint="eastAsia" w:eastAsia="方正仿宋_GBK"/>
        <w:lang w:eastAsia="zh-CN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0" w:leftChars="0" w:firstLine="0" w:firstLineChars="0"/>
      <w:jc w:val="both"/>
      <w:rPr>
        <w:rFonts w:hint="eastAsia" w:eastAsia="方正仿宋_GBK"/>
        <w:lang w:eastAsia="zh-CN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0" w:leftChars="0" w:firstLine="0" w:firstLineChars="0"/>
      <w:jc w:val="both"/>
      <w:rPr>
        <w:rFonts w:hint="eastAsia" w:eastAsia="方正仿宋_GBK"/>
        <w:lang w:eastAsia="zh-CN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0" w:leftChars="0" w:firstLine="0" w:firstLineChars="0"/>
      <w:jc w:val="both"/>
      <w:rPr>
        <w:rFonts w:hint="eastAsia" w:eastAsia="方正仿宋_GBK"/>
        <w:lang w:eastAsia="zh-CN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E8D1DB8"/>
    <w:rsid w:val="2DD25D34"/>
    <w:rsid w:val="4C5647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8" w:lineRule="exact"/>
      <w:ind w:firstLine="200" w:firstLineChars="200"/>
      <w:jc w:val="both"/>
      <w:textAlignment w:val="center"/>
    </w:pPr>
    <w:rPr>
      <w:rFonts w:ascii="Times New Roman" w:hAnsi="Times New Roman" w:eastAsia="方正仿宋_GBK" w:cs="Times New Roman"/>
      <w:kern w:val="2"/>
      <w:sz w:val="30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Calibri" w:hAnsi="Calibri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5" Type="http://schemas.openxmlformats.org/officeDocument/2006/relationships/fontTable" Target="fontTable.xml"/><Relationship Id="rId34" Type="http://schemas.openxmlformats.org/officeDocument/2006/relationships/customXml" Target="../customXml/item1.xml"/><Relationship Id="rId33" Type="http://schemas.openxmlformats.org/officeDocument/2006/relationships/theme" Target="theme/theme1.xml"/><Relationship Id="rId32" Type="http://schemas.openxmlformats.org/officeDocument/2006/relationships/footer" Target="footer15.xml"/><Relationship Id="rId31" Type="http://schemas.openxmlformats.org/officeDocument/2006/relationships/footer" Target="footer14.xml"/><Relationship Id="rId30" Type="http://schemas.openxmlformats.org/officeDocument/2006/relationships/footer" Target="footer13.xml"/><Relationship Id="rId3" Type="http://schemas.openxmlformats.org/officeDocument/2006/relationships/header" Target="header1.xml"/><Relationship Id="rId29" Type="http://schemas.openxmlformats.org/officeDocument/2006/relationships/header" Target="header15.xml"/><Relationship Id="rId28" Type="http://schemas.openxmlformats.org/officeDocument/2006/relationships/header" Target="header14.xml"/><Relationship Id="rId27" Type="http://schemas.openxmlformats.org/officeDocument/2006/relationships/header" Target="header13.xml"/><Relationship Id="rId26" Type="http://schemas.openxmlformats.org/officeDocument/2006/relationships/footer" Target="footer12.xml"/><Relationship Id="rId25" Type="http://schemas.openxmlformats.org/officeDocument/2006/relationships/footer" Target="footer11.xml"/><Relationship Id="rId24" Type="http://schemas.openxmlformats.org/officeDocument/2006/relationships/footer" Target="footer10.xml"/><Relationship Id="rId23" Type="http://schemas.openxmlformats.org/officeDocument/2006/relationships/header" Target="header12.xml"/><Relationship Id="rId22" Type="http://schemas.openxmlformats.org/officeDocument/2006/relationships/header" Target="header11.xml"/><Relationship Id="rId21" Type="http://schemas.openxmlformats.org/officeDocument/2006/relationships/header" Target="header10.xml"/><Relationship Id="rId20" Type="http://schemas.openxmlformats.org/officeDocument/2006/relationships/footer" Target="footer9.xml"/><Relationship Id="rId2" Type="http://schemas.openxmlformats.org/officeDocument/2006/relationships/settings" Target="settings.xml"/><Relationship Id="rId19" Type="http://schemas.openxmlformats.org/officeDocument/2006/relationships/footer" Target="footer8.xml"/><Relationship Id="rId18" Type="http://schemas.openxmlformats.org/officeDocument/2006/relationships/footer" Target="footer7.xml"/><Relationship Id="rId17" Type="http://schemas.openxmlformats.org/officeDocument/2006/relationships/header" Target="header9.xml"/><Relationship Id="rId16" Type="http://schemas.openxmlformats.org/officeDocument/2006/relationships/header" Target="header8.xml"/><Relationship Id="rId15" Type="http://schemas.openxmlformats.org/officeDocument/2006/relationships/header" Target="header7.xml"/><Relationship Id="rId14" Type="http://schemas.openxmlformats.org/officeDocument/2006/relationships/footer" Target="footer6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2021-03-23T14:47:00Z</dcterms:created>
  <dc:creator>郑昊</dc:creator>
  <cp:lastModifiedBy>郑昊</cp:lastModifiedBy>
  <dcterms:modified xsi:type="dcterms:W3CDTF">2022-04-19T12:03:44Z</dcterms:modified>
  <dc:title>附件2-1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