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5B7" w:rsidRDefault="00F765B7" w:rsidP="00F765B7">
      <w:pPr>
        <w:spacing w:line="600" w:lineRule="exact"/>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附表</w:t>
      </w:r>
    </w:p>
    <w:tbl>
      <w:tblPr>
        <w:tblpPr w:leftFromText="180" w:rightFromText="180" w:vertAnchor="text" w:horzAnchor="page" w:tblpX="869" w:tblpY="610"/>
        <w:tblOverlap w:val="never"/>
        <w:tblW w:w="0" w:type="auto"/>
        <w:tblLayout w:type="fixed"/>
        <w:tblCellMar>
          <w:left w:w="15" w:type="dxa"/>
          <w:right w:w="15" w:type="dxa"/>
        </w:tblCellMar>
        <w:tblLook w:val="0000" w:firstRow="0" w:lastRow="0" w:firstColumn="0" w:lastColumn="0" w:noHBand="0" w:noVBand="0"/>
      </w:tblPr>
      <w:tblGrid>
        <w:gridCol w:w="1185"/>
        <w:gridCol w:w="2370"/>
        <w:gridCol w:w="1095"/>
        <w:gridCol w:w="855"/>
        <w:gridCol w:w="855"/>
        <w:gridCol w:w="945"/>
        <w:gridCol w:w="945"/>
        <w:gridCol w:w="1980"/>
      </w:tblGrid>
      <w:tr w:rsidR="00F765B7" w:rsidTr="001E50FA">
        <w:trPr>
          <w:trHeight w:val="1065"/>
        </w:trPr>
        <w:tc>
          <w:tcPr>
            <w:tcW w:w="10230" w:type="dxa"/>
            <w:gridSpan w:val="8"/>
            <w:vAlign w:val="center"/>
          </w:tcPr>
          <w:p w:rsidR="00F765B7" w:rsidRDefault="00F765B7" w:rsidP="001E50FA">
            <w:pPr>
              <w:autoSpaceDN w:val="0"/>
              <w:jc w:val="center"/>
              <w:textAlignment w:val="center"/>
              <w:rPr>
                <w:rFonts w:ascii="方正小标宋简体" w:eastAsia="方正小标宋简体" w:hAnsi="方正小标宋简体"/>
                <w:color w:val="000000"/>
                <w:sz w:val="40"/>
              </w:rPr>
            </w:pPr>
            <w:bookmarkStart w:id="0" w:name="_GoBack"/>
            <w:r>
              <w:rPr>
                <w:rFonts w:ascii="方正小标宋简体" w:eastAsia="方正小标宋简体" w:hAnsi="方正小标宋简体"/>
                <w:color w:val="000000"/>
                <w:sz w:val="40"/>
              </w:rPr>
              <w:t>广东省水资源费征收标准</w:t>
            </w:r>
            <w:bookmarkEnd w:id="0"/>
          </w:p>
        </w:tc>
      </w:tr>
      <w:tr w:rsidR="00F765B7" w:rsidTr="001E50FA">
        <w:trPr>
          <w:trHeight w:val="450"/>
        </w:trPr>
        <w:tc>
          <w:tcPr>
            <w:tcW w:w="3555" w:type="dxa"/>
            <w:gridSpan w:val="2"/>
            <w:tcBorders>
              <w:top w:val="single" w:sz="4" w:space="0" w:color="000000"/>
              <w:left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906145</wp:posOffset>
                      </wp:positionH>
                      <wp:positionV relativeFrom="paragraph">
                        <wp:posOffset>17780</wp:posOffset>
                      </wp:positionV>
                      <wp:extent cx="1370965" cy="1090930"/>
                      <wp:effectExtent l="9525" t="10795" r="10160"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1090930"/>
                              </a:xfrm>
                              <a:prstGeom prst="line">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5pt,1.4pt" to="179.3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" strokecolor="#739cc3" strokeweight="1.25pt"/>
                  </w:pict>
                </mc:Fallback>
              </mc:AlternateContent>
            </w:r>
            <w:r>
              <w:rPr>
                <w:rFonts w:ascii="仿宋_GB2312" w:hAnsi="宋体"/>
                <w:color w:val="000000"/>
                <w:sz w:val="24"/>
              </w:rPr>
              <w:t xml:space="preserve">                </w:t>
            </w:r>
            <w:r>
              <w:rPr>
                <w:rFonts w:ascii="仿宋_GB2312" w:hAnsi="宋体"/>
                <w:color w:val="000000"/>
                <w:sz w:val="24"/>
              </w:rPr>
              <w:t>水源</w:t>
            </w:r>
            <w:r>
              <w:rPr>
                <w:rFonts w:ascii="宋体" w:hAnsi="宋体"/>
                <w:noProof/>
                <w:sz w:val="24"/>
              </w:rPr>
              <w:drawing>
                <wp:inline distT="0" distB="0" distL="0" distR="0">
                  <wp:extent cx="9525" cy="9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仿宋_GB2312" w:hAnsi="宋体"/>
                <w:color w:val="000000"/>
                <w:sz w:val="24"/>
              </w:rPr>
              <w:t xml:space="preserve">  </w:t>
            </w:r>
          </w:p>
        </w:tc>
        <w:tc>
          <w:tcPr>
            <w:tcW w:w="1095" w:type="dxa"/>
            <w:vMerge w:val="restart"/>
            <w:tcBorders>
              <w:top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地表水</w:t>
            </w:r>
          </w:p>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征收标准</w:t>
            </w:r>
          </w:p>
        </w:tc>
        <w:tc>
          <w:tcPr>
            <w:tcW w:w="3600" w:type="dxa"/>
            <w:gridSpan w:val="4"/>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地下水征收标准</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备注</w:t>
            </w:r>
          </w:p>
        </w:tc>
      </w:tr>
      <w:tr w:rsidR="00F765B7" w:rsidTr="001E50FA">
        <w:trPr>
          <w:trHeight w:val="585"/>
        </w:trPr>
        <w:tc>
          <w:tcPr>
            <w:tcW w:w="3555" w:type="dxa"/>
            <w:gridSpan w:val="2"/>
            <w:tcBorders>
              <w:left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2228850" cy="733425"/>
                      <wp:effectExtent l="8255" t="12065" r="10795" b="1651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733425"/>
                              </a:xfrm>
                              <a:prstGeom prst="line">
                                <a:avLst/>
                              </a:prstGeom>
                              <a:noFill/>
                              <a:ln w="15875" cmpd="sng">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5pt" to="176.2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" strokecolor="#739cc3" strokeweight="1.25pt"/>
                  </w:pict>
                </mc:Fallback>
              </mc:AlternateContent>
            </w:r>
            <w:r>
              <w:rPr>
                <w:rFonts w:ascii="仿宋_GB2312" w:hAnsi="宋体"/>
                <w:color w:val="000000"/>
                <w:sz w:val="24"/>
              </w:rPr>
              <w:t>标准</w:t>
            </w:r>
            <w:r>
              <w:rPr>
                <w:rFonts w:ascii="仿宋_GB2312" w:hAnsi="宋体"/>
                <w:color w:val="000000"/>
                <w:sz w:val="24"/>
              </w:rPr>
              <w:t xml:space="preserve">      </w:t>
            </w:r>
          </w:p>
        </w:tc>
        <w:tc>
          <w:tcPr>
            <w:tcW w:w="1095" w:type="dxa"/>
            <w:vMerge/>
            <w:tcBorders>
              <w:top w:val="single" w:sz="4" w:space="0" w:color="000000"/>
              <w:bottom w:val="single" w:sz="4" w:space="0" w:color="000000"/>
              <w:right w:val="single" w:sz="4" w:space="0" w:color="000000"/>
            </w:tcBorders>
            <w:vAlign w:val="center"/>
          </w:tcPr>
          <w:p w:rsidR="00F765B7" w:rsidRDefault="00F765B7" w:rsidP="001E50FA">
            <w:pPr>
              <w:rPr>
                <w:rFonts w:ascii="宋体" w:hAnsi="宋体"/>
                <w:sz w:val="24"/>
              </w:rPr>
            </w:pPr>
          </w:p>
        </w:tc>
        <w:tc>
          <w:tcPr>
            <w:tcW w:w="1710" w:type="dxa"/>
            <w:gridSpan w:val="2"/>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公共供水管网</w:t>
            </w:r>
          </w:p>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覆盖区域</w:t>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公共供水管网</w:t>
            </w:r>
          </w:p>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未覆盖区域</w:t>
            </w: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r>
      <w:tr w:rsidR="00F765B7" w:rsidTr="001E50FA">
        <w:trPr>
          <w:trHeight w:val="285"/>
        </w:trPr>
        <w:tc>
          <w:tcPr>
            <w:tcW w:w="3555" w:type="dxa"/>
            <w:gridSpan w:val="2"/>
            <w:tcBorders>
              <w:left w:val="single" w:sz="4" w:space="0" w:color="000000"/>
              <w:right w:val="single" w:sz="4" w:space="0" w:color="000000"/>
            </w:tcBorders>
            <w:vAlign w:val="center"/>
          </w:tcPr>
          <w:p w:rsidR="00F765B7" w:rsidRDefault="00F765B7" w:rsidP="001E50FA">
            <w:pPr>
              <w:autoSpaceDN w:val="0"/>
              <w:textAlignment w:val="center"/>
              <w:rPr>
                <w:rFonts w:ascii="仿宋_GB2312" w:hAnsi="宋体"/>
                <w:color w:val="000000"/>
                <w:sz w:val="24"/>
              </w:rPr>
            </w:pPr>
            <w:r>
              <w:rPr>
                <w:rFonts w:ascii="仿宋_GB2312" w:hAnsi="宋体" w:hint="eastAsia"/>
                <w:color w:val="000000"/>
                <w:sz w:val="24"/>
              </w:rPr>
              <w:t xml:space="preserve">        </w:t>
            </w:r>
            <w:r>
              <w:rPr>
                <w:rFonts w:ascii="仿宋_GB2312" w:hAnsi="宋体"/>
                <w:color w:val="000000"/>
                <w:sz w:val="24"/>
              </w:rPr>
              <w:t>取用</w:t>
            </w:r>
          </w:p>
        </w:tc>
        <w:tc>
          <w:tcPr>
            <w:tcW w:w="1095" w:type="dxa"/>
            <w:vMerge/>
            <w:tcBorders>
              <w:top w:val="single" w:sz="4" w:space="0" w:color="000000"/>
              <w:bottom w:val="single" w:sz="4" w:space="0" w:color="000000"/>
              <w:right w:val="single" w:sz="4" w:space="0" w:color="000000"/>
            </w:tcBorders>
            <w:vAlign w:val="center"/>
          </w:tcPr>
          <w:p w:rsidR="00F765B7" w:rsidRDefault="00F765B7" w:rsidP="001E50FA">
            <w:pPr>
              <w:rPr>
                <w:rFonts w:ascii="宋体" w:hAnsi="宋体"/>
                <w:sz w:val="24"/>
              </w:rPr>
            </w:pP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超采区</w:t>
            </w:r>
            <w:r>
              <w:rPr>
                <w:rFonts w:ascii="仿宋_GB2312" w:hAnsi="宋体"/>
                <w:color w:val="000000"/>
                <w:sz w:val="24"/>
              </w:rPr>
              <w:t xml:space="preserve"> </w:t>
            </w:r>
            <w:r>
              <w:rPr>
                <w:rFonts w:ascii="仿宋_GB2312" w:hAnsi="宋体"/>
                <w:color w:val="000000"/>
                <w:sz w:val="24"/>
              </w:rPr>
              <w:t>限采区</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一般</w:t>
            </w:r>
          </w:p>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区域</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超采区</w:t>
            </w:r>
            <w:r>
              <w:rPr>
                <w:rFonts w:ascii="仿宋_GB2312" w:hAnsi="宋体"/>
                <w:color w:val="000000"/>
                <w:sz w:val="24"/>
              </w:rPr>
              <w:t xml:space="preserve"> </w:t>
            </w:r>
            <w:r>
              <w:rPr>
                <w:rFonts w:ascii="仿宋_GB2312" w:hAnsi="宋体"/>
                <w:color w:val="000000"/>
                <w:sz w:val="24"/>
              </w:rPr>
              <w:t>限采区</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一般</w:t>
            </w:r>
          </w:p>
          <w:p w:rsidR="00F765B7" w:rsidRDefault="00F765B7" w:rsidP="001E50FA">
            <w:pPr>
              <w:autoSpaceDN w:val="0"/>
              <w:jc w:val="center"/>
              <w:textAlignment w:val="center"/>
              <w:rPr>
                <w:rFonts w:ascii="仿宋_GB2312" w:hAnsi="宋体"/>
                <w:color w:val="000000"/>
                <w:sz w:val="24"/>
              </w:rPr>
            </w:pPr>
            <w:r>
              <w:rPr>
                <w:rFonts w:ascii="仿宋_GB2312" w:hAnsi="宋体"/>
                <w:color w:val="000000"/>
                <w:sz w:val="24"/>
              </w:rPr>
              <w:t>区域</w:t>
            </w: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r>
      <w:tr w:rsidR="00F765B7" w:rsidTr="001E50FA">
        <w:trPr>
          <w:trHeight w:val="285"/>
        </w:trPr>
        <w:tc>
          <w:tcPr>
            <w:tcW w:w="3555" w:type="dxa"/>
            <w:gridSpan w:val="2"/>
            <w:tcBorders>
              <w:left w:val="single" w:sz="4" w:space="0" w:color="000000"/>
              <w:bottom w:val="single" w:sz="4" w:space="0" w:color="000000"/>
              <w:right w:val="single" w:sz="4" w:space="0" w:color="000000"/>
            </w:tcBorders>
            <w:vAlign w:val="center"/>
          </w:tcPr>
          <w:p w:rsidR="00F765B7" w:rsidRDefault="00F765B7" w:rsidP="001E50FA">
            <w:pPr>
              <w:autoSpaceDN w:val="0"/>
              <w:textAlignment w:val="center"/>
              <w:rPr>
                <w:rFonts w:ascii="仿宋_GB2312" w:hAnsi="宋体"/>
                <w:color w:val="000000"/>
                <w:sz w:val="24"/>
              </w:rPr>
            </w:pPr>
            <w:r>
              <w:rPr>
                <w:rFonts w:ascii="仿宋_GB2312" w:hAnsi="宋体" w:hint="eastAsia"/>
                <w:color w:val="000000"/>
                <w:sz w:val="24"/>
              </w:rPr>
              <w:t xml:space="preserve">       </w:t>
            </w:r>
            <w:r>
              <w:rPr>
                <w:rFonts w:ascii="仿宋_GB2312" w:hAnsi="宋体"/>
                <w:color w:val="000000"/>
                <w:sz w:val="24"/>
              </w:rPr>
              <w:t>水类别</w:t>
            </w:r>
          </w:p>
        </w:tc>
        <w:tc>
          <w:tcPr>
            <w:tcW w:w="1095" w:type="dxa"/>
            <w:vMerge/>
            <w:tcBorders>
              <w:top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r>
      <w:tr w:rsidR="00F765B7" w:rsidTr="001E50FA">
        <w:trPr>
          <w:trHeight w:val="1395"/>
        </w:trPr>
        <w:tc>
          <w:tcPr>
            <w:tcW w:w="3555" w:type="dxa"/>
            <w:gridSpan w:val="2"/>
            <w:tcBorders>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城乡生活取用水</w:t>
            </w:r>
          </w:p>
        </w:tc>
        <w:tc>
          <w:tcPr>
            <w:tcW w:w="109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0.2</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2.00 </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1.00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0.50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0.25 </w:t>
            </w:r>
          </w:p>
        </w:tc>
        <w:tc>
          <w:tcPr>
            <w:tcW w:w="1980"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由公共供水管道及其附属设施向农村用户提供生活饮用水的供水工程收费标准为</w:t>
            </w:r>
            <w:r>
              <w:rPr>
                <w:rFonts w:ascii="仿宋_GB2312" w:hAnsi="宋体"/>
                <w:color w:val="000000"/>
                <w:sz w:val="22"/>
              </w:rPr>
              <w:t>0.02</w:t>
            </w:r>
          </w:p>
        </w:tc>
      </w:tr>
      <w:tr w:rsidR="00F765B7" w:rsidTr="001E50FA">
        <w:trPr>
          <w:trHeight w:val="485"/>
        </w:trPr>
        <w:tc>
          <w:tcPr>
            <w:tcW w:w="3555" w:type="dxa"/>
            <w:gridSpan w:val="2"/>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生产、经营取用水</w:t>
            </w:r>
          </w:p>
        </w:tc>
        <w:tc>
          <w:tcPr>
            <w:tcW w:w="109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0.2</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4.00 </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2.00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1.00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0.50 </w:t>
            </w:r>
          </w:p>
        </w:tc>
        <w:tc>
          <w:tcPr>
            <w:tcW w:w="1980"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color w:val="000000"/>
                <w:sz w:val="24"/>
              </w:rPr>
            </w:pPr>
            <w:r>
              <w:rPr>
                <w:rFonts w:ascii="宋体" w:hAnsi="宋体"/>
                <w:color w:val="000000"/>
                <w:sz w:val="24"/>
              </w:rPr>
              <w:t>/</w:t>
            </w:r>
          </w:p>
        </w:tc>
      </w:tr>
      <w:tr w:rsidR="00F765B7" w:rsidTr="001E50FA">
        <w:trPr>
          <w:trHeight w:val="680"/>
        </w:trPr>
        <w:tc>
          <w:tcPr>
            <w:tcW w:w="3555" w:type="dxa"/>
            <w:gridSpan w:val="2"/>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核电、火力</w:t>
            </w:r>
            <w:r>
              <w:rPr>
                <w:rFonts w:ascii="仿宋_GB2312" w:hAnsi="宋体" w:hint="eastAsia"/>
                <w:color w:val="000000"/>
                <w:sz w:val="22"/>
              </w:rPr>
              <w:t>发电</w:t>
            </w:r>
            <w:proofErr w:type="gramStart"/>
            <w:r>
              <w:rPr>
                <w:rFonts w:ascii="仿宋_GB2312" w:hAnsi="宋体"/>
                <w:color w:val="000000"/>
                <w:sz w:val="22"/>
              </w:rPr>
              <w:t>贯</w:t>
            </w:r>
            <w:proofErr w:type="gramEnd"/>
            <w:r>
              <w:rPr>
                <w:rFonts w:ascii="仿宋_GB2312" w:hAnsi="宋体"/>
                <w:color w:val="000000"/>
                <w:sz w:val="22"/>
              </w:rPr>
              <w:t>流式</w:t>
            </w:r>
            <w:r>
              <w:rPr>
                <w:rFonts w:ascii="仿宋_GB2312" w:hAnsi="宋体" w:hint="eastAsia"/>
                <w:color w:val="000000"/>
                <w:sz w:val="22"/>
              </w:rPr>
              <w:t>冷却</w:t>
            </w:r>
            <w:r>
              <w:rPr>
                <w:rFonts w:ascii="仿宋_GB2312" w:hAnsi="宋体"/>
                <w:color w:val="000000"/>
                <w:sz w:val="22"/>
              </w:rPr>
              <w:t>取用水</w:t>
            </w:r>
          </w:p>
        </w:tc>
        <w:tc>
          <w:tcPr>
            <w:tcW w:w="109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0.005</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4.00 </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2.00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1.00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0.50 </w:t>
            </w:r>
          </w:p>
        </w:tc>
        <w:tc>
          <w:tcPr>
            <w:tcW w:w="1980"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生物质能发电的火电厂减半征收</w:t>
            </w:r>
          </w:p>
        </w:tc>
      </w:tr>
      <w:tr w:rsidR="00F765B7" w:rsidTr="001E50FA">
        <w:trPr>
          <w:trHeight w:val="425"/>
        </w:trPr>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水力发电</w:t>
            </w:r>
          </w:p>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取用水</w:t>
            </w:r>
          </w:p>
        </w:tc>
        <w:tc>
          <w:tcPr>
            <w:tcW w:w="2370"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大中型</w:t>
            </w:r>
          </w:p>
        </w:tc>
        <w:tc>
          <w:tcPr>
            <w:tcW w:w="109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0.007</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94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r>
      <w:tr w:rsidR="00F765B7" w:rsidTr="001E50FA">
        <w:trPr>
          <w:trHeight w:val="400"/>
        </w:trPr>
        <w:tc>
          <w:tcPr>
            <w:tcW w:w="118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rPr>
                <w:rFonts w:ascii="宋体" w:hAnsi="宋体"/>
                <w:sz w:val="24"/>
              </w:rPr>
            </w:pPr>
          </w:p>
        </w:tc>
        <w:tc>
          <w:tcPr>
            <w:tcW w:w="2370"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小型</w:t>
            </w:r>
          </w:p>
        </w:tc>
        <w:tc>
          <w:tcPr>
            <w:tcW w:w="109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0.005</w:t>
            </w:r>
          </w:p>
        </w:tc>
        <w:tc>
          <w:tcPr>
            <w:tcW w:w="85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94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r>
      <w:tr w:rsidR="00F765B7" w:rsidTr="001E50FA">
        <w:trPr>
          <w:trHeight w:val="400"/>
        </w:trPr>
        <w:tc>
          <w:tcPr>
            <w:tcW w:w="1185"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地热水、</w:t>
            </w:r>
          </w:p>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矿泉水</w:t>
            </w:r>
          </w:p>
        </w:tc>
        <w:tc>
          <w:tcPr>
            <w:tcW w:w="2370"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生产、经营取用水</w:t>
            </w:r>
          </w:p>
        </w:tc>
        <w:tc>
          <w:tcPr>
            <w:tcW w:w="109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4.00 </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2.00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4.00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2.00 </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已缴交矿产资源补偿费的减半征收</w:t>
            </w:r>
          </w:p>
        </w:tc>
      </w:tr>
      <w:tr w:rsidR="00F765B7" w:rsidTr="001E50FA">
        <w:trPr>
          <w:trHeight w:val="420"/>
        </w:trPr>
        <w:tc>
          <w:tcPr>
            <w:tcW w:w="1185"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rPr>
                <w:rFonts w:ascii="宋体" w:hAnsi="宋体"/>
                <w:sz w:val="24"/>
              </w:rPr>
            </w:pPr>
          </w:p>
        </w:tc>
        <w:tc>
          <w:tcPr>
            <w:tcW w:w="2370"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城乡生活取用水</w:t>
            </w:r>
          </w:p>
        </w:tc>
        <w:tc>
          <w:tcPr>
            <w:tcW w:w="109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2.00 </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1.00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2.00 </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1.00 </w:t>
            </w:r>
          </w:p>
        </w:tc>
        <w:tc>
          <w:tcPr>
            <w:tcW w:w="1980" w:type="dxa"/>
            <w:vMerge/>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宋体" w:hAnsi="宋体"/>
                <w:sz w:val="24"/>
              </w:rPr>
            </w:pPr>
          </w:p>
        </w:tc>
      </w:tr>
      <w:tr w:rsidR="00F765B7" w:rsidTr="001E50FA">
        <w:trPr>
          <w:trHeight w:val="420"/>
        </w:trPr>
        <w:tc>
          <w:tcPr>
            <w:tcW w:w="3555" w:type="dxa"/>
            <w:gridSpan w:val="2"/>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对香港、澳门供水</w:t>
            </w:r>
          </w:p>
        </w:tc>
        <w:tc>
          <w:tcPr>
            <w:tcW w:w="109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r>
      <w:tr w:rsidR="00F765B7" w:rsidTr="001E50FA">
        <w:trPr>
          <w:trHeight w:val="410"/>
        </w:trPr>
        <w:tc>
          <w:tcPr>
            <w:tcW w:w="3555" w:type="dxa"/>
            <w:gridSpan w:val="2"/>
            <w:tcBorders>
              <w:top w:val="single" w:sz="4" w:space="0" w:color="000000"/>
              <w:left w:val="single" w:sz="4" w:space="0" w:color="000000"/>
              <w:bottom w:val="single" w:sz="8"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其它取用水</w:t>
            </w:r>
          </w:p>
        </w:tc>
        <w:tc>
          <w:tcPr>
            <w:tcW w:w="1095" w:type="dxa"/>
            <w:tcBorders>
              <w:top w:val="single" w:sz="4" w:space="0" w:color="000000"/>
              <w:left w:val="single" w:sz="4" w:space="0" w:color="000000"/>
              <w:bottom w:val="single" w:sz="8"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0.2</w:t>
            </w:r>
          </w:p>
        </w:tc>
        <w:tc>
          <w:tcPr>
            <w:tcW w:w="855" w:type="dxa"/>
            <w:tcBorders>
              <w:top w:val="single" w:sz="4" w:space="0" w:color="000000"/>
              <w:left w:val="single" w:sz="4" w:space="0" w:color="000000"/>
              <w:bottom w:val="single" w:sz="8"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4.00 </w:t>
            </w:r>
          </w:p>
        </w:tc>
        <w:tc>
          <w:tcPr>
            <w:tcW w:w="855" w:type="dxa"/>
            <w:tcBorders>
              <w:top w:val="single" w:sz="4" w:space="0" w:color="000000"/>
              <w:left w:val="single" w:sz="4" w:space="0" w:color="000000"/>
              <w:bottom w:val="single" w:sz="8"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2.00 </w:t>
            </w:r>
          </w:p>
        </w:tc>
        <w:tc>
          <w:tcPr>
            <w:tcW w:w="945" w:type="dxa"/>
            <w:tcBorders>
              <w:top w:val="single" w:sz="4" w:space="0" w:color="000000"/>
              <w:left w:val="single" w:sz="4" w:space="0" w:color="000000"/>
              <w:bottom w:val="single" w:sz="8"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1.00 </w:t>
            </w:r>
          </w:p>
        </w:tc>
        <w:tc>
          <w:tcPr>
            <w:tcW w:w="945" w:type="dxa"/>
            <w:tcBorders>
              <w:top w:val="single" w:sz="4" w:space="0" w:color="000000"/>
              <w:left w:val="single" w:sz="4" w:space="0" w:color="000000"/>
              <w:bottom w:val="single" w:sz="8"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 xml:space="preserve">0.50 </w:t>
            </w:r>
          </w:p>
        </w:tc>
        <w:tc>
          <w:tcPr>
            <w:tcW w:w="1980" w:type="dxa"/>
            <w:tcBorders>
              <w:top w:val="single" w:sz="4" w:space="0" w:color="000000"/>
              <w:left w:val="single" w:sz="4" w:space="0" w:color="000000"/>
              <w:bottom w:val="single" w:sz="8" w:space="0" w:color="000000"/>
              <w:right w:val="single" w:sz="4" w:space="0" w:color="000000"/>
            </w:tcBorders>
            <w:vAlign w:val="center"/>
          </w:tcPr>
          <w:p w:rsidR="00F765B7" w:rsidRDefault="00F765B7" w:rsidP="001E50FA">
            <w:pPr>
              <w:autoSpaceDN w:val="0"/>
              <w:jc w:val="center"/>
              <w:textAlignment w:val="center"/>
              <w:rPr>
                <w:rFonts w:ascii="仿宋_GB2312" w:hAnsi="宋体"/>
                <w:color w:val="000000"/>
                <w:sz w:val="22"/>
              </w:rPr>
            </w:pPr>
            <w:r>
              <w:rPr>
                <w:rFonts w:ascii="仿宋_GB2312" w:hAnsi="宋体"/>
                <w:color w:val="000000"/>
                <w:sz w:val="22"/>
              </w:rPr>
              <w:t>/</w:t>
            </w:r>
          </w:p>
        </w:tc>
      </w:tr>
      <w:tr w:rsidR="00F765B7" w:rsidTr="001E50FA">
        <w:trPr>
          <w:trHeight w:val="285"/>
        </w:trPr>
        <w:tc>
          <w:tcPr>
            <w:tcW w:w="10230" w:type="dxa"/>
            <w:gridSpan w:val="8"/>
          </w:tcPr>
          <w:p w:rsidR="00F765B7" w:rsidRDefault="00F765B7" w:rsidP="001E50FA">
            <w:pPr>
              <w:autoSpaceDN w:val="0"/>
              <w:textAlignment w:val="top"/>
              <w:rPr>
                <w:rFonts w:ascii="仿宋_GB2312" w:hAnsi="宋体"/>
                <w:color w:val="000000"/>
                <w:sz w:val="22"/>
              </w:rPr>
            </w:pPr>
            <w:r>
              <w:rPr>
                <w:rFonts w:ascii="仿宋_GB2312" w:hAnsi="宋体"/>
                <w:color w:val="000000"/>
                <w:sz w:val="22"/>
              </w:rPr>
              <w:t>备注：</w:t>
            </w:r>
          </w:p>
        </w:tc>
      </w:tr>
      <w:tr w:rsidR="00F765B7" w:rsidTr="001E50FA">
        <w:trPr>
          <w:trHeight w:val="555"/>
        </w:trPr>
        <w:tc>
          <w:tcPr>
            <w:tcW w:w="10230" w:type="dxa"/>
            <w:gridSpan w:val="8"/>
          </w:tcPr>
          <w:p w:rsidR="00F765B7" w:rsidRDefault="00F765B7" w:rsidP="001E50FA">
            <w:pPr>
              <w:autoSpaceDN w:val="0"/>
              <w:textAlignment w:val="top"/>
              <w:rPr>
                <w:rFonts w:ascii="仿宋_GB2312" w:hAnsi="宋体"/>
                <w:color w:val="000000"/>
                <w:sz w:val="22"/>
              </w:rPr>
            </w:pPr>
            <w:r>
              <w:rPr>
                <w:rFonts w:ascii="仿宋_GB2312" w:hAnsi="宋体"/>
                <w:color w:val="000000"/>
                <w:sz w:val="22"/>
              </w:rPr>
              <w:t xml:space="preserve">    1</w:t>
            </w:r>
            <w:r>
              <w:rPr>
                <w:rFonts w:ascii="仿宋_GB2312" w:hAnsi="宋体"/>
                <w:color w:val="000000"/>
                <w:sz w:val="22"/>
              </w:rPr>
              <w:t>．单位：表中水力发电的计征单位为元</w:t>
            </w:r>
            <w:r>
              <w:rPr>
                <w:rFonts w:ascii="仿宋_GB2312" w:hAnsi="宋体"/>
                <w:color w:val="000000"/>
                <w:sz w:val="22"/>
              </w:rPr>
              <w:t>/kwh</w:t>
            </w:r>
            <w:r>
              <w:rPr>
                <w:rFonts w:ascii="仿宋_GB2312" w:hAnsi="宋体"/>
                <w:color w:val="000000"/>
                <w:sz w:val="22"/>
              </w:rPr>
              <w:t>，对港澳供水的计征单位为协议或合同水价的百分比，其它计征单位均为元</w:t>
            </w:r>
            <w:r>
              <w:rPr>
                <w:rFonts w:ascii="仿宋_GB2312" w:hAnsi="宋体"/>
                <w:color w:val="000000"/>
                <w:sz w:val="22"/>
              </w:rPr>
              <w:t>/m</w:t>
            </w:r>
            <w:r>
              <w:rPr>
                <w:rFonts w:ascii="仿宋_GB2312" w:hAnsi="宋体"/>
                <w:color w:val="000000"/>
                <w:sz w:val="22"/>
                <w:vertAlign w:val="superscript"/>
              </w:rPr>
              <w:t>3</w:t>
            </w:r>
            <w:r>
              <w:rPr>
                <w:rFonts w:ascii="仿宋_GB2312" w:hAnsi="宋体"/>
                <w:color w:val="000000"/>
                <w:sz w:val="22"/>
              </w:rPr>
              <w:t>。</w:t>
            </w:r>
          </w:p>
        </w:tc>
      </w:tr>
      <w:tr w:rsidR="00F765B7" w:rsidTr="001E50FA">
        <w:trPr>
          <w:trHeight w:val="300"/>
        </w:trPr>
        <w:tc>
          <w:tcPr>
            <w:tcW w:w="10230" w:type="dxa"/>
            <w:gridSpan w:val="8"/>
          </w:tcPr>
          <w:p w:rsidR="00F765B7" w:rsidRDefault="00F765B7" w:rsidP="001E50FA">
            <w:pPr>
              <w:autoSpaceDN w:val="0"/>
              <w:textAlignment w:val="top"/>
              <w:rPr>
                <w:rFonts w:ascii="仿宋_GB2312" w:hAnsi="宋体"/>
                <w:color w:val="000000"/>
                <w:sz w:val="22"/>
              </w:rPr>
            </w:pPr>
            <w:r>
              <w:rPr>
                <w:rFonts w:ascii="仿宋_GB2312" w:hAnsi="宋体"/>
                <w:color w:val="000000"/>
                <w:sz w:val="22"/>
              </w:rPr>
              <w:t xml:space="preserve">    2</w:t>
            </w:r>
            <w:r>
              <w:rPr>
                <w:rFonts w:ascii="仿宋_GB2312" w:hAnsi="宋体"/>
                <w:color w:val="000000"/>
                <w:sz w:val="22"/>
              </w:rPr>
              <w:t>．城乡生活取水包括自来水生产取用水。</w:t>
            </w:r>
          </w:p>
        </w:tc>
      </w:tr>
      <w:tr w:rsidR="00F765B7" w:rsidTr="001E50FA">
        <w:trPr>
          <w:trHeight w:val="390"/>
        </w:trPr>
        <w:tc>
          <w:tcPr>
            <w:tcW w:w="10230" w:type="dxa"/>
            <w:gridSpan w:val="8"/>
          </w:tcPr>
          <w:p w:rsidR="00F765B7" w:rsidRDefault="00F765B7" w:rsidP="001E50FA">
            <w:pPr>
              <w:autoSpaceDN w:val="0"/>
              <w:textAlignment w:val="top"/>
              <w:rPr>
                <w:rFonts w:ascii="仿宋_GB2312" w:hAnsi="宋体"/>
                <w:color w:val="000000"/>
                <w:sz w:val="22"/>
              </w:rPr>
            </w:pPr>
            <w:r>
              <w:rPr>
                <w:rFonts w:ascii="仿宋_GB2312" w:hAnsi="宋体"/>
                <w:color w:val="000000"/>
                <w:sz w:val="22"/>
              </w:rPr>
              <w:t xml:space="preserve">    3</w:t>
            </w:r>
            <w:r>
              <w:rPr>
                <w:rFonts w:ascii="仿宋_GB2312" w:hAnsi="宋体"/>
                <w:color w:val="000000"/>
                <w:sz w:val="22"/>
              </w:rPr>
              <w:t>．生产、经营取用水包括工业、商业、服务业用水。</w:t>
            </w:r>
          </w:p>
        </w:tc>
      </w:tr>
    </w:tbl>
    <w:p w:rsidR="00F765B7" w:rsidRDefault="00F765B7" w:rsidP="00F765B7"/>
    <w:p w:rsidR="00F765B7" w:rsidRDefault="00F765B7" w:rsidP="00F765B7"/>
    <w:p w:rsidR="00F765B7" w:rsidRDefault="00F765B7" w:rsidP="00F765B7"/>
    <w:p w:rsidR="00CC34C4" w:rsidRDefault="00CC34C4"/>
    <w:sectPr w:rsidR="00CC3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B7"/>
    <w:rsid w:val="00CC34C4"/>
    <w:rsid w:val="00F7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5B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65B7"/>
    <w:rPr>
      <w:sz w:val="18"/>
      <w:szCs w:val="18"/>
    </w:rPr>
  </w:style>
  <w:style w:type="character" w:customStyle="1" w:styleId="Char">
    <w:name w:val="批注框文本 Char"/>
    <w:basedOn w:val="a0"/>
    <w:link w:val="a3"/>
    <w:uiPriority w:val="99"/>
    <w:semiHidden/>
    <w:rsid w:val="00F765B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5B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65B7"/>
    <w:rPr>
      <w:sz w:val="18"/>
      <w:szCs w:val="18"/>
    </w:rPr>
  </w:style>
  <w:style w:type="character" w:customStyle="1" w:styleId="Char">
    <w:name w:val="批注框文本 Char"/>
    <w:basedOn w:val="a0"/>
    <w:link w:val="a3"/>
    <w:uiPriority w:val="99"/>
    <w:semiHidden/>
    <w:rsid w:val="00F765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dc:creator>
  <cp:lastModifiedBy>xie</cp:lastModifiedBy>
  <cp:revision>1</cp:revision>
  <dcterms:created xsi:type="dcterms:W3CDTF">2016-01-15T07:48:00Z</dcterms:created>
  <dcterms:modified xsi:type="dcterms:W3CDTF">2016-01-15T07:48:00Z</dcterms:modified>
</cp:coreProperties>
</file>