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ja-JP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珠三角地区煤炭消费减量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控制目标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“十三五”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期,珠三角地区煤炭消费量相比201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年下降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12%。到2017年，珠三角地区煤炭消费总量控制在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7514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万吨以内，较201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年减少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486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万吨，占全省消费比重相比201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年下降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个百分点。到2020年，珠三角地区煤炭消费总量控制在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7006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万吨以内，占全省消费比重相比201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年下降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个百分点。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按照珠三角地区煤炭消费减量目标，综合考虑各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地级以上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市经济社会发展水平、能源消费特征、环境保护要求、规划重大项目建设和行业发展实际，将煤炭消费总量控制目标任务分解到相关地级以上市，珠三角各地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级以上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市煤炭消费总量控制目标分解任务见下表。</w:t>
      </w:r>
    </w:p>
    <w:p>
      <w:pPr>
        <w:pStyle w:val="4"/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0"/>
        </w:rPr>
        <w:t>表   珠三角地区分市煤炭消费总量控制目标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211"/>
        <w:gridCol w:w="212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地市</w:t>
            </w:r>
          </w:p>
        </w:tc>
        <w:tc>
          <w:tcPr>
            <w:tcW w:w="6513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煤炭消费量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2015年</w:t>
            </w:r>
          </w:p>
        </w:tc>
        <w:tc>
          <w:tcPr>
            <w:tcW w:w="212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2177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珠三角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700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1562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深圳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珠海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佛山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惠州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东莞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1682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中山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江门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09" w:type="dxa"/>
            <w:vAlign w:val="bottom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肇庆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13099"/>
    <w:rsid w:val="2CB35C1F"/>
    <w:rsid w:val="61413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">
    <w:name w:val="正文 New New New New"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2017-04-17T07:01:00Z</dcterms:created>
  <dc:creator>xie</dc:creator>
  <cp:lastModifiedBy>xie</cp:lastModifiedBy>
  <dcterms:modified xsi:type="dcterms:W3CDTF">2017-04-17T07:02:42Z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